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56"/>
          <w:szCs w:val="56"/>
          <w:u w:val="none"/>
          <w:shd w:fill="auto" w:val="clear"/>
          <w:vertAlign w:val="baseline"/>
        </w:rPr>
      </w:pPr>
      <w:r w:rsidDel="00000000" w:rsidR="00000000" w:rsidRPr="00000000">
        <w:rPr>
          <w:rFonts w:ascii="Calibri" w:cs="Calibri" w:eastAsia="Calibri" w:hAnsi="Calibri"/>
          <w:b w:val="1"/>
          <w:i w:val="0"/>
          <w:smallCaps w:val="0"/>
          <w:strike w:val="0"/>
          <w:color w:val="000000"/>
          <w:sz w:val="56"/>
          <w:szCs w:val="56"/>
          <w:u w:val="none"/>
          <w:shd w:fill="auto" w:val="clear"/>
          <w:vertAlign w:val="baseline"/>
          <w:rtl w:val="0"/>
        </w:rPr>
        <w:t xml:space="preserve">Summer Tasks</w:t>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9525</wp:posOffset>
            </wp:positionV>
            <wp:extent cx="1047750" cy="1047750"/>
            <wp:effectExtent b="0" l="0" r="0" t="0"/>
            <wp:wrapSquare wrapText="bothSides" distB="0" distT="0" distL="114300" distR="114300"/>
            <wp:docPr descr="N:\Downloads\SPW005---Final-Logo (1).jpg" id="6" name="image2.jpg"/>
            <a:graphic>
              <a:graphicData uri="http://schemas.openxmlformats.org/drawingml/2006/picture">
                <pic:pic>
                  <pic:nvPicPr>
                    <pic:cNvPr descr="N:\Downloads\SPW005---Final-Logo (1).jpg" id="0" name="image2.jpg"/>
                    <pic:cNvPicPr preferRelativeResize="0"/>
                  </pic:nvPicPr>
                  <pic:blipFill>
                    <a:blip r:embed="rId7"/>
                    <a:srcRect b="0" l="0" r="0" t="0"/>
                    <a:stretch>
                      <a:fillRect/>
                    </a:stretch>
                  </pic:blipFill>
                  <pic:spPr>
                    <a:xfrm>
                      <a:off x="0" y="0"/>
                      <a:ext cx="1047750" cy="10477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56"/>
          <w:szCs w:val="56"/>
          <w:u w:val="none"/>
          <w:shd w:fill="auto" w:val="clear"/>
          <w:vertAlign w:val="baseline"/>
        </w:rPr>
      </w:pPr>
      <w:r w:rsidDel="00000000" w:rsidR="00000000" w:rsidRPr="00000000">
        <w:rPr>
          <w:rFonts w:ascii="Calibri" w:cs="Calibri" w:eastAsia="Calibri" w:hAnsi="Calibri"/>
          <w:b w:val="1"/>
          <w:i w:val="0"/>
          <w:smallCaps w:val="0"/>
          <w:strike w:val="0"/>
          <w:color w:val="000000"/>
          <w:sz w:val="56"/>
          <w:szCs w:val="56"/>
          <w:u w:val="none"/>
          <w:shd w:fill="auto" w:val="clear"/>
          <w:vertAlign w:val="baseline"/>
          <w:rtl w:val="0"/>
        </w:rPr>
        <w:t xml:space="preserve">YEAR 12 into 13 CHEMISTRY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rHeight w:val="12866" w:hRule="atLeast"/>
          <w:tblHeader w:val="0"/>
        </w:trPr>
        <w:tc>
          <w:tcPr/>
          <w:p w:rsidR="00000000" w:rsidDel="00000000" w:rsidP="00000000" w:rsidRDefault="00000000" w:rsidRPr="00000000" w14:paraId="00000005">
            <w:pPr>
              <w:rPr>
                <w:b w:val="1"/>
                <w:sz w:val="48"/>
                <w:szCs w:val="48"/>
              </w:rPr>
            </w:pPr>
            <w:r w:rsidDel="00000000" w:rsidR="00000000" w:rsidRPr="00000000">
              <w:rPr>
                <w:b w:val="1"/>
                <w:sz w:val="48"/>
                <w:szCs w:val="48"/>
                <w:rtl w:val="0"/>
              </w:rPr>
              <w:t xml:space="preserve">TASK A – UpLearn </w:t>
            </w:r>
          </w:p>
          <w:p w:rsidR="00000000" w:rsidDel="00000000" w:rsidP="00000000" w:rsidRDefault="00000000" w:rsidRPr="00000000" w14:paraId="00000006">
            <w:pPr>
              <w:rPr>
                <w:b w:val="1"/>
                <w:sz w:val="18"/>
                <w:szCs w:val="18"/>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Minimum of 800XP points from 22nd</w:t>
            </w:r>
            <w:r w:rsidDel="00000000" w:rsidR="00000000" w:rsidRPr="00000000">
              <w:rPr>
                <w:rFonts w:ascii="Arial" w:cs="Arial" w:eastAsia="Arial" w:hAnsi="Arial"/>
                <w:sz w:val="20"/>
                <w:szCs w:val="20"/>
                <w:rtl w:val="0"/>
              </w:rPr>
              <w:t xml:space="preserve"> July – 2</w:t>
            </w:r>
            <w:r w:rsidDel="00000000" w:rsidR="00000000" w:rsidRPr="00000000">
              <w:rPr>
                <w:rFonts w:ascii="Arial" w:cs="Arial" w:eastAsia="Arial" w:hAnsi="Arial"/>
                <w:sz w:val="20"/>
                <w:szCs w:val="20"/>
                <w:vertAlign w:val="superscript"/>
                <w:rtl w:val="0"/>
              </w:rPr>
              <w:t xml:space="preserve">nd</w:t>
            </w:r>
            <w:r w:rsidDel="00000000" w:rsidR="00000000" w:rsidRPr="00000000">
              <w:rPr>
                <w:rFonts w:ascii="Arial" w:cs="Arial" w:eastAsia="Arial" w:hAnsi="Arial"/>
                <w:sz w:val="20"/>
                <w:szCs w:val="20"/>
                <w:rtl w:val="0"/>
              </w:rPr>
              <w:t xml:space="preserve"> September. </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Aiming to boost your Up Score, this can be found at the top of your course page:</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5683138" cy="2357204"/>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83138" cy="2357204"/>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focus on the weaknesses from your exam, these can be found on your proforma document distributed after your mocks. Please also focus on the following year 13 content to support what we have covered so far (links below), these have been set as assignments. </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color w:val="0000ff"/>
                <w:sz w:val="20"/>
                <w:szCs w:val="20"/>
                <w:u w:val="single"/>
              </w:rPr>
            </w:pPr>
            <w:r w:rsidDel="00000000" w:rsidR="00000000" w:rsidRPr="00000000">
              <w:fldChar w:fldCharType="begin"/>
              <w:instrText xml:space="preserve"> HYPERLINK "https://web.uplearn.co.uk/learn/chemistry-ocr-2/rate-equations" </w:instrText>
              <w:fldChar w:fldCharType="separate"/>
            </w:r>
            <w:r w:rsidDel="00000000" w:rsidR="00000000" w:rsidRPr="00000000">
              <w:rPr>
                <w:rFonts w:ascii="Arial" w:cs="Arial" w:eastAsia="Arial" w:hAnsi="Arial"/>
                <w:color w:val="0000ff"/>
                <w:sz w:val="20"/>
                <w:szCs w:val="20"/>
                <w:u w:val="single"/>
                <w:rtl w:val="0"/>
              </w:rPr>
              <w:t xml:space="preserve">5.1.1a-c</w:t>
            </w:r>
          </w:p>
          <w:p w:rsidR="00000000" w:rsidDel="00000000" w:rsidP="00000000" w:rsidRDefault="00000000" w:rsidRPr="00000000" w14:paraId="0000000F">
            <w:pPr>
              <w:rPr>
                <w:rFonts w:ascii="Arial" w:cs="Arial" w:eastAsia="Arial" w:hAnsi="Arial"/>
                <w:sz w:val="20"/>
                <w:szCs w:val="20"/>
              </w:rPr>
            </w:pPr>
            <w:r w:rsidDel="00000000" w:rsidR="00000000" w:rsidRPr="00000000">
              <w:fldChar w:fldCharType="end"/>
            </w:r>
            <w:hyperlink r:id="rId9">
              <w:r w:rsidDel="00000000" w:rsidR="00000000" w:rsidRPr="00000000">
                <w:rPr>
                  <w:rFonts w:ascii="Arial" w:cs="Arial" w:eastAsia="Arial" w:hAnsi="Arial"/>
                  <w:color w:val="0000ff"/>
                  <w:sz w:val="20"/>
                  <w:szCs w:val="20"/>
                  <w:u w:val="single"/>
                  <w:rtl w:val="0"/>
                </w:rPr>
                <w:t xml:space="preserve">5.1.1d-e</w:t>
              </w:r>
            </w:hyperlink>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hyperlink r:id="rId10">
              <w:r w:rsidDel="00000000" w:rsidR="00000000" w:rsidRPr="00000000">
                <w:rPr>
                  <w:rFonts w:ascii="Arial" w:cs="Arial" w:eastAsia="Arial" w:hAnsi="Arial"/>
                  <w:color w:val="0000ff"/>
                  <w:sz w:val="20"/>
                  <w:szCs w:val="20"/>
                  <w:u w:val="single"/>
                  <w:rtl w:val="0"/>
                </w:rPr>
                <w:t xml:space="preserve">5.1.1i</w:t>
              </w:r>
            </w:hyperlink>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hyperlink r:id="rId11">
              <w:r w:rsidDel="00000000" w:rsidR="00000000" w:rsidRPr="00000000">
                <w:rPr>
                  <w:rFonts w:ascii="Arial" w:cs="Arial" w:eastAsia="Arial" w:hAnsi="Arial"/>
                  <w:color w:val="0000ff"/>
                  <w:sz w:val="20"/>
                  <w:szCs w:val="20"/>
                  <w:u w:val="single"/>
                  <w:rtl w:val="0"/>
                </w:rPr>
                <w:t xml:space="preserve">5.2.1a</w:t>
              </w:r>
            </w:hyperlink>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hyperlink r:id="rId12">
              <w:r w:rsidDel="00000000" w:rsidR="00000000" w:rsidRPr="00000000">
                <w:rPr>
                  <w:rFonts w:ascii="Arial" w:cs="Arial" w:eastAsia="Arial" w:hAnsi="Arial"/>
                  <w:color w:val="0000ff"/>
                  <w:sz w:val="20"/>
                  <w:szCs w:val="20"/>
                  <w:u w:val="single"/>
                  <w:rtl w:val="0"/>
                </w:rPr>
                <w:t xml:space="preserve">5.2.1b</w:t>
              </w:r>
            </w:hyperlink>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hyperlink r:id="rId13">
              <w:r w:rsidDel="00000000" w:rsidR="00000000" w:rsidRPr="00000000">
                <w:rPr>
                  <w:rFonts w:ascii="Arial" w:cs="Arial" w:eastAsia="Arial" w:hAnsi="Arial"/>
                  <w:color w:val="0000ff"/>
                  <w:sz w:val="20"/>
                  <w:szCs w:val="20"/>
                  <w:u w:val="single"/>
                  <w:rtl w:val="0"/>
                </w:rPr>
                <w:t xml:space="preserve">5.2.1c</w:t>
              </w:r>
            </w:hyperlink>
            <w:hyperlink r:id="rId14">
              <w:r w:rsidDel="00000000" w:rsidR="00000000" w:rsidRPr="00000000">
                <w:rPr>
                  <w:color w:val="0000ff"/>
                  <w:u w:val="single"/>
                  <w:rtl w:val="0"/>
                </w:rPr>
                <w:t xml:space="preserve">-e</w:t>
              </w:r>
            </w:hyperlink>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hyperlink r:id="rId15">
              <w:r w:rsidDel="00000000" w:rsidR="00000000" w:rsidRPr="00000000">
                <w:rPr>
                  <w:rFonts w:ascii="Arial" w:cs="Arial" w:eastAsia="Arial" w:hAnsi="Arial"/>
                  <w:color w:val="0000ff"/>
                  <w:sz w:val="20"/>
                  <w:szCs w:val="20"/>
                  <w:u w:val="single"/>
                  <w:rtl w:val="0"/>
                </w:rPr>
                <w:t xml:space="preserve">6.1.1a-b</w:t>
              </w:r>
            </w:hyperlink>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hyperlink r:id="rId16">
              <w:r w:rsidDel="00000000" w:rsidR="00000000" w:rsidRPr="00000000">
                <w:rPr>
                  <w:rFonts w:ascii="Arial" w:cs="Arial" w:eastAsia="Arial" w:hAnsi="Arial"/>
                  <w:color w:val="0000ff"/>
                  <w:sz w:val="20"/>
                  <w:szCs w:val="20"/>
                  <w:u w:val="single"/>
                  <w:rtl w:val="0"/>
                </w:rPr>
                <w:t xml:space="preserve">6.1.1c</w:t>
              </w:r>
            </w:hyperlink>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hyperlink r:id="rId17">
              <w:r w:rsidDel="00000000" w:rsidR="00000000" w:rsidRPr="00000000">
                <w:rPr>
                  <w:rFonts w:ascii="Arial" w:cs="Arial" w:eastAsia="Arial" w:hAnsi="Arial"/>
                  <w:color w:val="0000ff"/>
                  <w:sz w:val="20"/>
                  <w:szCs w:val="20"/>
                  <w:u w:val="single"/>
                  <w:rtl w:val="0"/>
                </w:rPr>
                <w:t xml:space="preserve">6.1.1d-g</w:t>
              </w:r>
            </w:hyperlink>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hyperlink r:id="rId18">
              <w:r w:rsidDel="00000000" w:rsidR="00000000" w:rsidRPr="00000000">
                <w:rPr>
                  <w:rFonts w:ascii="Arial" w:cs="Arial" w:eastAsia="Arial" w:hAnsi="Arial"/>
                  <w:color w:val="0000ff"/>
                  <w:sz w:val="20"/>
                  <w:szCs w:val="20"/>
                  <w:u w:val="single"/>
                  <w:rtl w:val="0"/>
                </w:rPr>
                <w:t xml:space="preserve">6.1.1h-j</w:t>
              </w:r>
            </w:hyperlink>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hyperlink r:id="rId19">
              <w:r w:rsidDel="00000000" w:rsidR="00000000" w:rsidRPr="00000000">
                <w:rPr>
                  <w:rFonts w:ascii="Arial" w:cs="Arial" w:eastAsia="Arial" w:hAnsi="Arial"/>
                  <w:color w:val="0000ff"/>
                  <w:sz w:val="20"/>
                  <w:szCs w:val="20"/>
                  <w:u w:val="single"/>
                  <w:rtl w:val="0"/>
                </w:rPr>
                <w:t xml:space="preserve">6.1.1k-l</w:t>
              </w:r>
            </w:hyperlink>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rPr>
            </w:pPr>
            <w:bookmarkStart w:colFirst="0" w:colLast="0" w:name="_heading=h.b876dp794nab" w:id="0"/>
            <w:bookmarkEnd w:id="0"/>
            <w:r w:rsidDel="00000000" w:rsidR="00000000" w:rsidRPr="00000000">
              <w:rPr>
                <w:rtl w:val="0"/>
              </w:rPr>
            </w:r>
          </w:p>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rPr>
                <w:b w:val="1"/>
                <w:sz w:val="48"/>
                <w:szCs w:val="48"/>
              </w:rPr>
            </w:pPr>
            <w:r w:rsidDel="00000000" w:rsidR="00000000" w:rsidRPr="00000000">
              <w:rPr>
                <w:rtl w:val="0"/>
              </w:rPr>
            </w:r>
          </w:p>
          <w:p w:rsidR="00000000" w:rsidDel="00000000" w:rsidP="00000000" w:rsidRDefault="00000000" w:rsidRPr="00000000" w14:paraId="00000027">
            <w:pPr>
              <w:rPr>
                <w:b w:val="1"/>
                <w:sz w:val="48"/>
                <w:szCs w:val="48"/>
              </w:rPr>
            </w:pPr>
            <w:r w:rsidDel="00000000" w:rsidR="00000000" w:rsidRPr="00000000">
              <w:rPr>
                <w:rtl w:val="0"/>
              </w:rPr>
            </w:r>
          </w:p>
          <w:p w:rsidR="00000000" w:rsidDel="00000000" w:rsidP="00000000" w:rsidRDefault="00000000" w:rsidRPr="00000000" w14:paraId="00000028">
            <w:pPr>
              <w:rPr>
                <w:b w:val="1"/>
                <w:sz w:val="48"/>
                <w:szCs w:val="48"/>
              </w:rPr>
            </w:pPr>
            <w:r w:rsidDel="00000000" w:rsidR="00000000" w:rsidRPr="00000000">
              <w:rPr>
                <w:b w:val="1"/>
                <w:sz w:val="48"/>
                <w:szCs w:val="48"/>
                <w:rtl w:val="0"/>
              </w:rPr>
              <w:t xml:space="preserve">TASK B – PAG Revision Task</w:t>
            </w:r>
          </w:p>
          <w:p w:rsidR="00000000" w:rsidDel="00000000" w:rsidP="00000000" w:rsidRDefault="00000000" w:rsidRPr="00000000" w14:paraId="00000029">
            <w:pPr>
              <w:rPr>
                <w:b w:val="1"/>
                <w:sz w:val="12"/>
                <w:szCs w:val="12"/>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Practical Skills in written examinations</w:t>
            </w:r>
          </w:p>
          <w:p w:rsidR="00000000" w:rsidDel="00000000" w:rsidP="00000000" w:rsidRDefault="00000000" w:rsidRPr="00000000" w14:paraId="0000002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332" w:before="0" w:line="240" w:lineRule="auto"/>
              <w:ind w:left="0" w:right="0" w:firstLine="0"/>
              <w:jc w:val="both"/>
              <w:rPr>
                <w:rFonts w:ascii="Arial" w:cs="Arial" w:eastAsia="Arial" w:hAnsi="Arial"/>
                <w:b w:val="0"/>
                <w:i w:val="0"/>
                <w:smallCaps w:val="0"/>
                <w:strike w:val="0"/>
                <w:color w:val="222222"/>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The work you have completed for the Practical Endorsement has been excellent preparation for your public exams in Year 13.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332" w:before="0" w:line="240" w:lineRule="auto"/>
              <w:ind w:left="0" w:right="0" w:firstLine="0"/>
              <w:jc w:val="both"/>
              <w:rPr>
                <w:rFonts w:ascii="Arial" w:cs="Arial" w:eastAsia="Arial" w:hAnsi="Arial"/>
                <w:b w:val="0"/>
                <w:i w:val="0"/>
                <w:smallCaps w:val="0"/>
                <w:strike w:val="0"/>
                <w:color w:val="222222"/>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It has been clear from the new specification exam papers, practice and specimen papers that the practical activities completed form significant part of all three papers especially paper 3.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332" w:before="0" w:line="240" w:lineRule="auto"/>
              <w:ind w:left="0" w:right="0" w:firstLine="0"/>
              <w:jc w:val="left"/>
              <w:rPr>
                <w:rFonts w:ascii="Arial" w:cs="Arial" w:eastAsia="Arial" w:hAnsi="Arial"/>
                <w:b w:val="0"/>
                <w:i w:val="0"/>
                <w:smallCaps w:val="0"/>
                <w:strike w:val="0"/>
                <w:color w:val="222222"/>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Questions have focussed on the following key areas:-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Planning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can you describe practical activity including Identification of equipment – you are expected to be able to draw a scientific diagram of the equipment and annotate as appropriate.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Risk Assess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identify both the generic and specific dangers in each experiment.  Be able to propose ways to minimise the dangers and outline any action required in the event of an accident.  You are recommended to use CLEAPS, and other online resources, to research and reference your risk assessment.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Variables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Independent, dependent, control – identify as appropriate.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Analysis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Link between scientific understanding and anticipated results.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Can you present your results in a well-designed data table and/or graphically.  Do you know what to do with the data in terms of calculations required?  Do you support your work by using balanced equations and/or ionic equations.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Evaluation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What are the limitations of your experiment? How do you minimise uncertainty and errors? How could you improve your experiment?  Can you constructively criticise a proposed method/diagram in order to improve or make safe the procedure?</w:t>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booklets on PAGs 1-7 uploaded to the google classroom.</w:t>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b w:val="1"/>
                <w:i w:val="1"/>
                <w:sz w:val="20"/>
                <w:szCs w:val="20"/>
              </w:rPr>
            </w:pPr>
            <w:r w:rsidDel="00000000" w:rsidR="00000000" w:rsidRPr="00000000">
              <w:rPr>
                <w:rFonts w:ascii="Arial" w:cs="Arial" w:eastAsia="Arial" w:hAnsi="Arial"/>
                <w:b w:val="1"/>
                <w:i w:val="1"/>
                <w:color w:val="ff0000"/>
                <w:sz w:val="20"/>
                <w:szCs w:val="20"/>
                <w:rtl w:val="0"/>
              </w:rPr>
              <w:t xml:space="preserve">Please upload to the assignment on google classroom by the 2</w:t>
            </w:r>
            <w:r w:rsidDel="00000000" w:rsidR="00000000" w:rsidRPr="00000000">
              <w:rPr>
                <w:rFonts w:ascii="Arial" w:cs="Arial" w:eastAsia="Arial" w:hAnsi="Arial"/>
                <w:b w:val="1"/>
                <w:i w:val="1"/>
                <w:color w:val="ff0000"/>
                <w:sz w:val="20"/>
                <w:szCs w:val="20"/>
                <w:vertAlign w:val="superscript"/>
                <w:rtl w:val="0"/>
              </w:rPr>
              <w:t xml:space="preserve">nd</w:t>
            </w:r>
            <w:r w:rsidDel="00000000" w:rsidR="00000000" w:rsidRPr="00000000">
              <w:rPr>
                <w:rFonts w:ascii="Arial" w:cs="Arial" w:eastAsia="Arial" w:hAnsi="Arial"/>
                <w:b w:val="1"/>
                <w:i w:val="1"/>
                <w:color w:val="ff0000"/>
                <w:sz w:val="20"/>
                <w:szCs w:val="20"/>
                <w:rtl w:val="0"/>
              </w:rPr>
              <w:t xml:space="preserve"> of September.</w:t>
            </w: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jc w:val="center"/>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03B">
            <w:pPr>
              <w:jc w:val="center"/>
              <w:rPr>
                <w:b w:val="1"/>
                <w:sz w:val="24"/>
                <w:szCs w:val="24"/>
              </w:rPr>
            </w:pPr>
            <w:r w:rsidDel="00000000" w:rsidR="00000000" w:rsidRPr="00000000">
              <w:rPr>
                <w:rFonts w:ascii="Arial" w:cs="Arial" w:eastAsia="Arial" w:hAnsi="Arial"/>
                <w:b w:val="1"/>
                <w:i w:val="1"/>
                <w:color w:val="ff0000"/>
                <w:sz w:val="20"/>
                <w:szCs w:val="20"/>
                <w:rtl w:val="0"/>
              </w:rPr>
              <w:t xml:space="preserve">.</w:t>
            </w:r>
            <w:r w:rsidDel="00000000" w:rsidR="00000000" w:rsidRPr="00000000">
              <w:rPr>
                <w:rtl w:val="0"/>
              </w:rPr>
            </w:r>
          </w:p>
        </w:tc>
      </w:tr>
    </w:tbl>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rtl w:val="0"/>
        </w:rPr>
      </w:r>
    </w:p>
    <w:sdt>
      <w:sdtPr>
        <w:lock w:val="contentLocked"/>
        <w:id w:val="-1454309162"/>
        <w:tag w:val="goog_rdk_0"/>
      </w:sdtPr>
      <w:sdtContent>
        <w:tbl>
          <w:tblPr>
            <w:tblStyle w:val="Table2"/>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Optional extension task:</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Work through the multiple choice questions on cognito for any modules completed so far: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20">
                  <w:r w:rsidDel="00000000" w:rsidR="00000000" w:rsidRPr="00000000">
                    <w:rPr>
                      <w:color w:val="1155cc"/>
                      <w:sz w:val="24"/>
                      <w:szCs w:val="24"/>
                      <w:u w:val="single"/>
                      <w:rtl w:val="0"/>
                    </w:rPr>
                    <w:t xml:space="preserve">https://cognitoedu.org/courseoverview/c3-alevel-ocr/exam-practice/mcqs</w:t>
                  </w:r>
                </w:hyperlink>
                <w:r w:rsidDel="00000000" w:rsidR="00000000" w:rsidRPr="00000000">
                  <w:rPr>
                    <w:sz w:val="24"/>
                    <w:szCs w:val="24"/>
                    <w:rtl w:val="0"/>
                  </w:rPr>
                  <w:t xml:space="preserve"> </w:t>
                </w:r>
              </w:p>
            </w:tc>
          </w:tr>
        </w:tbl>
      </w:sdtContent>
    </w:sdt>
    <w:p w:rsidR="00000000" w:rsidDel="00000000" w:rsidP="00000000" w:rsidRDefault="00000000" w:rsidRPr="00000000" w14:paraId="00000043">
      <w:pPr>
        <w:rPr>
          <w:b w:val="1"/>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pPr>
      <w:spacing w:after="0" w:line="240" w:lineRule="auto"/>
    </w:pPr>
  </w:style>
  <w:style w:type="character" w:styleId="Hyperlink">
    <w:name w:val="Hyperlink"/>
    <w:basedOn w:val="DefaultParagraphFont"/>
    <w:uiPriority w:val="99"/>
    <w:unhideWhenUsed w:val="1"/>
    <w:rPr>
      <w:color w:val="0000ff" w:themeColor="hyperlink"/>
      <w:u w:val="single"/>
    </w:rPr>
  </w:style>
  <w:style w:type="paragraph" w:styleId="NormalWeb">
    <w:name w:val="Normal (Web)"/>
    <w:basedOn w:val="Normal"/>
    <w:uiPriority w:val="99"/>
    <w:semiHidden w:val="1"/>
    <w:unhideWhenUsed w:val="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pPr>
      <w:ind w:left="720"/>
      <w:contextualSpacing w:val="1"/>
    </w:p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character" w:styleId="UnresolvedMention">
    <w:name w:val="Unresolved Mention"/>
    <w:basedOn w:val="DefaultParagraphFont"/>
    <w:uiPriority w:val="99"/>
    <w:semiHidden w:val="1"/>
    <w:unhideWhenUsed w:val="1"/>
    <w:rsid w:val="003B0DF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gnitoedu.org/courseoverview/c3-alevel-ocr/exam-practice/mcqs" TargetMode="External"/><Relationship Id="rId11" Type="http://schemas.openxmlformats.org/officeDocument/2006/relationships/hyperlink" Target="https://web.uplearn.co.uk/learn/chemistry-ocr-2/lattice-enthalpies" TargetMode="External"/><Relationship Id="rId10" Type="http://schemas.openxmlformats.org/officeDocument/2006/relationships/hyperlink" Target="https://web.uplearn.co.uk/learn/chemistry-ocr-2/ratedetermining-steps" TargetMode="External"/><Relationship Id="rId13" Type="http://schemas.openxmlformats.org/officeDocument/2006/relationships/hyperlink" Target="https://web.uplearn.co.uk/learn/chemistry-ocr-2/enthalpies-of-solution-and-hydration" TargetMode="External"/><Relationship Id="rId12" Type="http://schemas.openxmlformats.org/officeDocument/2006/relationships/hyperlink" Target="https://web.uplearn.co.uk/learn/chemistry-ocr-2/bornhaber-cy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uplearn.co.uk/learn/chemistry-ocr-2/graphs-and-rates-of-reaction" TargetMode="External"/><Relationship Id="rId15" Type="http://schemas.openxmlformats.org/officeDocument/2006/relationships/hyperlink" Target="https://web.uplearn.co.uk/learn/chemistry-ocr-2/benzene" TargetMode="External"/><Relationship Id="rId14" Type="http://schemas.openxmlformats.org/officeDocument/2006/relationships/hyperlink" Target="https://web.uplearn.co.uk/learn/chemistry-ocr-2/enthalpies-of-solution-and-hydration" TargetMode="External"/><Relationship Id="rId17" Type="http://schemas.openxmlformats.org/officeDocument/2006/relationships/hyperlink" Target="https://web.uplearn.co.uk/learn/chemistry-ocr-2/electrophilic-substitution" TargetMode="External"/><Relationship Id="rId16" Type="http://schemas.openxmlformats.org/officeDocument/2006/relationships/hyperlink" Target="https://web.uplearn.co.uk/learn/chemistry-ocr-2/naming-aromatic-compounds" TargetMode="External"/><Relationship Id="rId5" Type="http://schemas.openxmlformats.org/officeDocument/2006/relationships/styles" Target="styles.xml"/><Relationship Id="rId19" Type="http://schemas.openxmlformats.org/officeDocument/2006/relationships/hyperlink" Target="https://web.uplearn.co.uk/learn/chemistry-ocr-2/electron-donating-and-withdrawing-groups" TargetMode="External"/><Relationship Id="rId6" Type="http://schemas.openxmlformats.org/officeDocument/2006/relationships/customXml" Target="../customXML/item1.xml"/><Relationship Id="rId18" Type="http://schemas.openxmlformats.org/officeDocument/2006/relationships/hyperlink" Target="https://web.uplearn.co.uk/learn/chemistry-ocr-2/phenol" TargetMode="Externa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GjA4yzVr35qCU6oNEX37sQPg==">CgMxLjAaHwoBMBIaChgICVIUChJ0YWJsZS4zamY4MDBtYnd4MjEyDmguYjg3NmRwNzk0bmFiOAByITFpTHR1STRwNHBHUTMweVpaa1hjMVFDZ0NXNk9zUkRiOQ==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2023-06-12T21:08:00Z</dcterms:created>
  <dc:creator>Coleridge Harriet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-1463105088</vt:i4>
  </property>
</Properties>
</file>