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C429" w14:textId="77777777" w:rsidR="00677A59" w:rsidRPr="00A62EC2" w:rsidRDefault="00AA2A86" w:rsidP="003B1201">
      <w:pPr>
        <w:jc w:val="center"/>
        <w:rPr>
          <w:b/>
          <w:sz w:val="24"/>
          <w:szCs w:val="24"/>
          <w:u w:val="single"/>
        </w:rPr>
      </w:pPr>
      <w:r w:rsidRPr="00A62EC2">
        <w:rPr>
          <w:b/>
          <w:sz w:val="24"/>
          <w:szCs w:val="24"/>
          <w:u w:val="single"/>
        </w:rPr>
        <w:t xml:space="preserve">Springwood High School PTFA </w:t>
      </w:r>
      <w:r w:rsidR="002C17CB">
        <w:rPr>
          <w:b/>
          <w:sz w:val="24"/>
          <w:szCs w:val="24"/>
          <w:u w:val="single"/>
        </w:rPr>
        <w:t>AGM Minutes</w:t>
      </w:r>
    </w:p>
    <w:p w14:paraId="2D5F4983" w14:textId="77777777" w:rsidR="00AA2A86" w:rsidRDefault="00AA68DC" w:rsidP="003B120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Wednesday </w:t>
      </w:r>
      <w:r w:rsidR="0098338C">
        <w:rPr>
          <w:b/>
          <w:sz w:val="24"/>
          <w:szCs w:val="24"/>
          <w:u w:val="single"/>
        </w:rPr>
        <w:t>22</w:t>
      </w:r>
      <w:r w:rsidR="0098338C" w:rsidRPr="0098338C">
        <w:rPr>
          <w:b/>
          <w:sz w:val="24"/>
          <w:szCs w:val="24"/>
          <w:u w:val="single"/>
          <w:vertAlign w:val="superscript"/>
        </w:rPr>
        <w:t>nd</w:t>
      </w:r>
      <w:r w:rsidR="0098338C">
        <w:rPr>
          <w:b/>
          <w:sz w:val="24"/>
          <w:szCs w:val="24"/>
          <w:u w:val="single"/>
        </w:rPr>
        <w:t xml:space="preserve"> October 2025</w:t>
      </w:r>
      <w:r w:rsidR="003B1201">
        <w:rPr>
          <w:b/>
          <w:sz w:val="24"/>
          <w:szCs w:val="24"/>
          <w:u w:val="single"/>
        </w:rPr>
        <w:t xml:space="preserve"> </w:t>
      </w:r>
      <w:r w:rsidR="002C17CB">
        <w:rPr>
          <w:b/>
          <w:sz w:val="24"/>
          <w:szCs w:val="24"/>
          <w:u w:val="single"/>
        </w:rPr>
        <w:t>6</w:t>
      </w:r>
      <w:r w:rsidR="003B1201">
        <w:rPr>
          <w:b/>
          <w:sz w:val="24"/>
          <w:szCs w:val="24"/>
          <w:u w:val="single"/>
        </w:rPr>
        <w:t>.</w:t>
      </w:r>
      <w:r w:rsidR="00472FE3">
        <w:rPr>
          <w:b/>
          <w:sz w:val="24"/>
          <w:szCs w:val="24"/>
          <w:u w:val="single"/>
        </w:rPr>
        <w:t>00</w:t>
      </w:r>
      <w:r w:rsidR="003B1201">
        <w:rPr>
          <w:b/>
          <w:sz w:val="24"/>
          <w:szCs w:val="24"/>
          <w:u w:val="single"/>
        </w:rPr>
        <w:t>pm</w:t>
      </w:r>
    </w:p>
    <w:p w14:paraId="37ECCD1E" w14:textId="4224AC4B" w:rsidR="003B1201" w:rsidRDefault="00C11420" w:rsidP="00AA2A8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 w:rsidR="00BD4269">
        <w:rPr>
          <w:b/>
          <w:i/>
          <w:sz w:val="24"/>
          <w:szCs w:val="24"/>
        </w:rPr>
        <w:t>Present: Fez Williams</w:t>
      </w:r>
      <w:r w:rsidR="00296904">
        <w:rPr>
          <w:b/>
          <w:i/>
          <w:sz w:val="24"/>
          <w:szCs w:val="24"/>
        </w:rPr>
        <w:t xml:space="preserve"> (Chair)</w:t>
      </w:r>
      <w:r w:rsidR="00BD4269">
        <w:rPr>
          <w:b/>
          <w:i/>
          <w:sz w:val="24"/>
          <w:szCs w:val="24"/>
        </w:rPr>
        <w:t>, S</w:t>
      </w:r>
      <w:r w:rsidR="00096A89">
        <w:rPr>
          <w:b/>
          <w:i/>
          <w:sz w:val="24"/>
          <w:szCs w:val="24"/>
        </w:rPr>
        <w:t xml:space="preserve">uzi </w:t>
      </w:r>
      <w:r w:rsidR="00F9141B">
        <w:rPr>
          <w:b/>
          <w:i/>
          <w:sz w:val="24"/>
          <w:szCs w:val="24"/>
        </w:rPr>
        <w:t>Ludgater</w:t>
      </w:r>
      <w:r w:rsidR="00020F50">
        <w:rPr>
          <w:b/>
          <w:i/>
          <w:sz w:val="24"/>
          <w:szCs w:val="24"/>
        </w:rPr>
        <w:t>-Pimlott</w:t>
      </w:r>
      <w:r w:rsidR="00096A89">
        <w:rPr>
          <w:b/>
          <w:i/>
          <w:sz w:val="24"/>
          <w:szCs w:val="24"/>
        </w:rPr>
        <w:t>, Richard Thompson, E</w:t>
      </w:r>
      <w:r w:rsidR="00BD4269">
        <w:rPr>
          <w:b/>
          <w:i/>
          <w:sz w:val="24"/>
          <w:szCs w:val="24"/>
        </w:rPr>
        <w:t>mma Nor</w:t>
      </w:r>
      <w:r w:rsidR="00472FE3">
        <w:rPr>
          <w:b/>
          <w:i/>
          <w:sz w:val="24"/>
          <w:szCs w:val="24"/>
        </w:rPr>
        <w:t>ris, Geoff Martin, Rachel Curti</w:t>
      </w:r>
      <w:r w:rsidR="00020F50">
        <w:rPr>
          <w:b/>
          <w:i/>
          <w:sz w:val="24"/>
          <w:szCs w:val="24"/>
        </w:rPr>
        <w:t>s</w:t>
      </w:r>
      <w:r w:rsidR="00472FE3">
        <w:rPr>
          <w:b/>
          <w:i/>
          <w:sz w:val="24"/>
          <w:szCs w:val="24"/>
        </w:rPr>
        <w:t xml:space="preserve">, </w:t>
      </w:r>
      <w:r w:rsidR="008B43A1">
        <w:rPr>
          <w:b/>
          <w:i/>
          <w:sz w:val="24"/>
          <w:szCs w:val="24"/>
        </w:rPr>
        <w:t>Gem Blackburn</w:t>
      </w:r>
    </w:p>
    <w:p w14:paraId="0A233406" w14:textId="1555931D" w:rsidR="008B43A1" w:rsidRPr="00296904" w:rsidRDefault="002C17CB" w:rsidP="008B43A1">
      <w:pPr>
        <w:rPr>
          <w:bCs/>
          <w:iCs/>
          <w:sz w:val="24"/>
          <w:szCs w:val="24"/>
        </w:rPr>
      </w:pPr>
      <w:r w:rsidRPr="00296904">
        <w:rPr>
          <w:bCs/>
          <w:iCs/>
          <w:sz w:val="24"/>
          <w:szCs w:val="24"/>
        </w:rPr>
        <w:t>Apologies:</w:t>
      </w:r>
      <w:r w:rsidR="008B43A1" w:rsidRPr="00296904">
        <w:rPr>
          <w:bCs/>
          <w:iCs/>
          <w:sz w:val="24"/>
          <w:szCs w:val="24"/>
        </w:rPr>
        <w:t xml:space="preserve">  Laura Farr, Gemma Coady, Leanne Leggett</w:t>
      </w:r>
    </w:p>
    <w:p w14:paraId="30426E90" w14:textId="77777777" w:rsidR="003B1201" w:rsidRDefault="002C17CB" w:rsidP="003B120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Welcome</w:t>
      </w:r>
      <w:r w:rsidR="00BD4269">
        <w:rPr>
          <w:b/>
          <w:i/>
          <w:sz w:val="24"/>
          <w:szCs w:val="24"/>
        </w:rPr>
        <w:br/>
      </w:r>
      <w:r w:rsidR="00020F50">
        <w:rPr>
          <w:sz w:val="24"/>
          <w:szCs w:val="24"/>
        </w:rPr>
        <w:t>Fez welcomed everyone to the meeting.</w:t>
      </w:r>
      <w:r w:rsidR="00DF49F0">
        <w:rPr>
          <w:b/>
          <w:i/>
          <w:sz w:val="24"/>
          <w:szCs w:val="24"/>
        </w:rPr>
        <w:br/>
      </w:r>
    </w:p>
    <w:p w14:paraId="100E2E78" w14:textId="40820F28" w:rsidR="0098338C" w:rsidRPr="00296904" w:rsidRDefault="00DF49F0" w:rsidP="0098338C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</w:rPr>
      </w:pPr>
      <w:r w:rsidRPr="00296904">
        <w:rPr>
          <w:b/>
          <w:i/>
          <w:sz w:val="24"/>
          <w:szCs w:val="24"/>
        </w:rPr>
        <w:t xml:space="preserve">To </w:t>
      </w:r>
      <w:r w:rsidR="002C17CB" w:rsidRPr="00296904">
        <w:rPr>
          <w:b/>
          <w:i/>
          <w:sz w:val="24"/>
          <w:szCs w:val="24"/>
        </w:rPr>
        <w:t>Receive the Accounts for 202</w:t>
      </w:r>
      <w:r w:rsidR="00296904" w:rsidRPr="00296904">
        <w:rPr>
          <w:b/>
          <w:i/>
          <w:sz w:val="24"/>
          <w:szCs w:val="24"/>
        </w:rPr>
        <w:t>4</w:t>
      </w:r>
      <w:r w:rsidR="002C17CB" w:rsidRPr="00296904">
        <w:rPr>
          <w:b/>
          <w:i/>
          <w:sz w:val="24"/>
          <w:szCs w:val="24"/>
        </w:rPr>
        <w:t>/2</w:t>
      </w:r>
      <w:r w:rsidR="00296904" w:rsidRPr="00296904">
        <w:rPr>
          <w:b/>
          <w:i/>
          <w:sz w:val="24"/>
          <w:szCs w:val="24"/>
        </w:rPr>
        <w:t>5</w:t>
      </w:r>
      <w:r w:rsidR="00296904">
        <w:rPr>
          <w:b/>
          <w:i/>
          <w:sz w:val="24"/>
          <w:szCs w:val="24"/>
        </w:rPr>
        <w:br/>
      </w:r>
      <w:r w:rsidR="00296904">
        <w:rPr>
          <w:b/>
          <w:i/>
          <w:sz w:val="24"/>
          <w:szCs w:val="24"/>
        </w:rPr>
        <w:br/>
      </w:r>
      <w:r w:rsidR="0098338C" w:rsidRPr="00296904">
        <w:rPr>
          <w:rFonts w:ascii="Calibri" w:eastAsia="Calibri" w:hAnsi="Calibri" w:cs="Calibri"/>
          <w:sz w:val="28"/>
          <w:szCs w:val="28"/>
        </w:rPr>
        <w:t>Treasurer's Report 2024-25</w:t>
      </w:r>
    </w:p>
    <w:p w14:paraId="0B1973C2" w14:textId="77777777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t>Income / Expenditure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2410"/>
        <w:gridCol w:w="1646"/>
        <w:gridCol w:w="1796"/>
        <w:gridCol w:w="1796"/>
      </w:tblGrid>
      <w:tr w:rsidR="008843E7" w14:paraId="41415D6F" w14:textId="77777777" w:rsidTr="00F5420C">
        <w:tc>
          <w:tcPr>
            <w:tcW w:w="1260" w:type="dxa"/>
          </w:tcPr>
          <w:p w14:paraId="03AAA520" w14:textId="155F56BD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Fund</w:t>
            </w:r>
          </w:p>
        </w:tc>
        <w:tc>
          <w:tcPr>
            <w:tcW w:w="2410" w:type="dxa"/>
          </w:tcPr>
          <w:p w14:paraId="448D7AF7" w14:textId="4972F463" w:rsidR="008B43A1" w:rsidRDefault="00296904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Balance brought forward from 2023-24</w:t>
            </w:r>
          </w:p>
        </w:tc>
        <w:tc>
          <w:tcPr>
            <w:tcW w:w="1646" w:type="dxa"/>
          </w:tcPr>
          <w:p w14:paraId="02B3345E" w14:textId="53D9A924" w:rsidR="008B43A1" w:rsidRDefault="00296904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Income</w:t>
            </w:r>
          </w:p>
        </w:tc>
        <w:tc>
          <w:tcPr>
            <w:tcW w:w="1796" w:type="dxa"/>
          </w:tcPr>
          <w:p w14:paraId="2FECBD6F" w14:textId="1C78C8D8" w:rsidR="008B43A1" w:rsidRDefault="00296904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Outgoings</w:t>
            </w:r>
          </w:p>
        </w:tc>
        <w:tc>
          <w:tcPr>
            <w:tcW w:w="1796" w:type="dxa"/>
          </w:tcPr>
          <w:p w14:paraId="282C2983" w14:textId="333D9109" w:rsidR="008B43A1" w:rsidRDefault="00296904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Balance</w:t>
            </w:r>
          </w:p>
        </w:tc>
      </w:tr>
      <w:tr w:rsidR="008843E7" w14:paraId="2F76CCD0" w14:textId="77777777" w:rsidTr="00F5420C">
        <w:tc>
          <w:tcPr>
            <w:tcW w:w="1260" w:type="dxa"/>
          </w:tcPr>
          <w:p w14:paraId="03AA32CF" w14:textId="5ED82C05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General</w:t>
            </w:r>
          </w:p>
        </w:tc>
        <w:tc>
          <w:tcPr>
            <w:tcW w:w="2410" w:type="dxa"/>
          </w:tcPr>
          <w:p w14:paraId="336BED9E" w14:textId="64D70B50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£8,106.36</w:t>
            </w:r>
          </w:p>
        </w:tc>
        <w:tc>
          <w:tcPr>
            <w:tcW w:w="1646" w:type="dxa"/>
          </w:tcPr>
          <w:p w14:paraId="4E8785A3" w14:textId="04B205D6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£11,050.95</w:t>
            </w:r>
          </w:p>
        </w:tc>
        <w:tc>
          <w:tcPr>
            <w:tcW w:w="1796" w:type="dxa"/>
          </w:tcPr>
          <w:p w14:paraId="401EA3BE" w14:textId="297A6EC8" w:rsidR="008B43A1" w:rsidRPr="00F5420C" w:rsidRDefault="008B43A1" w:rsidP="0098338C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F5420C">
              <w:rPr>
                <w:rFonts w:ascii="Calibri" w:eastAsia="Calibri" w:hAnsi="Calibri" w:cs="Calibri"/>
                <w:color w:val="FF0000"/>
                <w:sz w:val="24"/>
              </w:rPr>
              <w:t>£11,572.55</w:t>
            </w:r>
          </w:p>
        </w:tc>
        <w:tc>
          <w:tcPr>
            <w:tcW w:w="1796" w:type="dxa"/>
          </w:tcPr>
          <w:p w14:paraId="727C8E95" w14:textId="4CC7727F" w:rsidR="008B43A1" w:rsidRDefault="008843E7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</w:t>
            </w:r>
            <w:r w:rsidR="00296904">
              <w:rPr>
                <w:rFonts w:ascii="Calibri" w:eastAsia="Calibri" w:hAnsi="Calibri" w:cs="Calibri"/>
                <w:sz w:val="24"/>
              </w:rPr>
              <w:t>7</w:t>
            </w:r>
            <w:r>
              <w:rPr>
                <w:rFonts w:ascii="Calibri" w:eastAsia="Calibri" w:hAnsi="Calibri" w:cs="Calibri"/>
                <w:sz w:val="24"/>
              </w:rPr>
              <w:t>,</w:t>
            </w:r>
            <w:r w:rsidR="00296904">
              <w:rPr>
                <w:rFonts w:ascii="Calibri" w:eastAsia="Calibri" w:hAnsi="Calibri" w:cs="Calibri"/>
                <w:sz w:val="24"/>
              </w:rPr>
              <w:t>584.76</w:t>
            </w:r>
          </w:p>
        </w:tc>
      </w:tr>
      <w:tr w:rsidR="008843E7" w14:paraId="417480AC" w14:textId="77777777" w:rsidTr="00F5420C">
        <w:tc>
          <w:tcPr>
            <w:tcW w:w="1260" w:type="dxa"/>
          </w:tcPr>
          <w:p w14:paraId="7B9C0394" w14:textId="15C85AD2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Kinetic</w:t>
            </w:r>
          </w:p>
        </w:tc>
        <w:tc>
          <w:tcPr>
            <w:tcW w:w="2410" w:type="dxa"/>
          </w:tcPr>
          <w:p w14:paraId="2B423190" w14:textId="4820D4CB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£4,008.20</w:t>
            </w:r>
          </w:p>
        </w:tc>
        <w:tc>
          <w:tcPr>
            <w:tcW w:w="1646" w:type="dxa"/>
          </w:tcPr>
          <w:p w14:paraId="25743143" w14:textId="25C887EB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£1,199.28</w:t>
            </w:r>
          </w:p>
        </w:tc>
        <w:tc>
          <w:tcPr>
            <w:tcW w:w="1796" w:type="dxa"/>
          </w:tcPr>
          <w:p w14:paraId="7592A9E8" w14:textId="0082EB59" w:rsidR="008B43A1" w:rsidRPr="00F5420C" w:rsidRDefault="008B43A1" w:rsidP="0098338C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F5420C">
              <w:rPr>
                <w:rFonts w:ascii="Calibri" w:eastAsia="Calibri" w:hAnsi="Calibri" w:cs="Calibri"/>
                <w:color w:val="FF0000"/>
                <w:sz w:val="24"/>
              </w:rPr>
              <w:t>£2,006.54</w:t>
            </w:r>
          </w:p>
        </w:tc>
        <w:tc>
          <w:tcPr>
            <w:tcW w:w="1796" w:type="dxa"/>
          </w:tcPr>
          <w:p w14:paraId="168D2FEE" w14:textId="5894923A" w:rsidR="008B43A1" w:rsidRDefault="008843E7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£3,200.94</w:t>
            </w:r>
          </w:p>
        </w:tc>
      </w:tr>
      <w:tr w:rsidR="008843E7" w14:paraId="0FAAB01F" w14:textId="77777777" w:rsidTr="00F5420C">
        <w:tc>
          <w:tcPr>
            <w:tcW w:w="1260" w:type="dxa"/>
          </w:tcPr>
          <w:p w14:paraId="2D791DB4" w14:textId="172AB72A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Concert</w:t>
            </w:r>
          </w:p>
        </w:tc>
        <w:tc>
          <w:tcPr>
            <w:tcW w:w="2410" w:type="dxa"/>
          </w:tcPr>
          <w:p w14:paraId="1A75465A" w14:textId="012C4F01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£4,521.19</w:t>
            </w:r>
          </w:p>
        </w:tc>
        <w:tc>
          <w:tcPr>
            <w:tcW w:w="1646" w:type="dxa"/>
          </w:tcPr>
          <w:p w14:paraId="2018BADF" w14:textId="4629BE93" w:rsidR="008B43A1" w:rsidRDefault="008B43A1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£6,366.59</w:t>
            </w:r>
          </w:p>
        </w:tc>
        <w:tc>
          <w:tcPr>
            <w:tcW w:w="1796" w:type="dxa"/>
          </w:tcPr>
          <w:p w14:paraId="6FC5BE1F" w14:textId="3464FD97" w:rsidR="008B43A1" w:rsidRPr="00F5420C" w:rsidRDefault="008B43A1" w:rsidP="0098338C">
            <w:pPr>
              <w:rPr>
                <w:rFonts w:ascii="Calibri" w:eastAsia="Calibri" w:hAnsi="Calibri" w:cs="Calibri"/>
                <w:color w:val="FF0000"/>
                <w:sz w:val="24"/>
              </w:rPr>
            </w:pPr>
            <w:r w:rsidRPr="00F5420C">
              <w:rPr>
                <w:rFonts w:ascii="Calibri" w:eastAsia="Calibri" w:hAnsi="Calibri" w:cs="Calibri"/>
                <w:color w:val="FF0000"/>
                <w:sz w:val="24"/>
              </w:rPr>
              <w:t>£8,505.56</w:t>
            </w:r>
          </w:p>
        </w:tc>
        <w:tc>
          <w:tcPr>
            <w:tcW w:w="1796" w:type="dxa"/>
          </w:tcPr>
          <w:p w14:paraId="101BA58C" w14:textId="56CBDBC2" w:rsidR="008B43A1" w:rsidRDefault="008843E7" w:rsidP="0098338C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£2,382.22</w:t>
            </w:r>
          </w:p>
        </w:tc>
      </w:tr>
      <w:tr w:rsidR="008843E7" w14:paraId="56C89A3E" w14:textId="77777777" w:rsidTr="00F5420C">
        <w:tc>
          <w:tcPr>
            <w:tcW w:w="1260" w:type="dxa"/>
          </w:tcPr>
          <w:p w14:paraId="22335AF2" w14:textId="72F4FFEE" w:rsidR="008B43A1" w:rsidRPr="00F5420C" w:rsidRDefault="008B43A1" w:rsidP="0098338C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F5420C">
              <w:rPr>
                <w:rFonts w:ascii="Calibri" w:eastAsia="Calibri" w:hAnsi="Calibri" w:cs="Calibri"/>
                <w:b/>
                <w:bCs/>
                <w:sz w:val="24"/>
              </w:rPr>
              <w:t>Total</w:t>
            </w:r>
          </w:p>
        </w:tc>
        <w:tc>
          <w:tcPr>
            <w:tcW w:w="2410" w:type="dxa"/>
          </w:tcPr>
          <w:p w14:paraId="2734CCE8" w14:textId="4AFC7A6A" w:rsidR="008B43A1" w:rsidRPr="00F5420C" w:rsidRDefault="008B43A1" w:rsidP="0098338C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F5420C">
              <w:rPr>
                <w:rFonts w:ascii="Calibri" w:eastAsia="Calibri" w:hAnsi="Calibri" w:cs="Calibri"/>
                <w:b/>
                <w:bCs/>
                <w:sz w:val="24"/>
              </w:rPr>
              <w:t>£16,635.75</w:t>
            </w:r>
          </w:p>
        </w:tc>
        <w:tc>
          <w:tcPr>
            <w:tcW w:w="1646" w:type="dxa"/>
          </w:tcPr>
          <w:p w14:paraId="2FA5B5B3" w14:textId="4D4F31ED" w:rsidR="008B43A1" w:rsidRPr="00F5420C" w:rsidRDefault="008B43A1" w:rsidP="0098338C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F5420C">
              <w:rPr>
                <w:rFonts w:ascii="Calibri" w:eastAsia="Calibri" w:hAnsi="Calibri" w:cs="Calibri"/>
                <w:b/>
                <w:bCs/>
                <w:sz w:val="24"/>
              </w:rPr>
              <w:t>£18.616.82</w:t>
            </w:r>
          </w:p>
        </w:tc>
        <w:tc>
          <w:tcPr>
            <w:tcW w:w="1796" w:type="dxa"/>
          </w:tcPr>
          <w:p w14:paraId="03387091" w14:textId="34C7F3EB" w:rsidR="008B43A1" w:rsidRPr="00F5420C" w:rsidRDefault="008B43A1" w:rsidP="0098338C">
            <w:pPr>
              <w:rPr>
                <w:rFonts w:ascii="Calibri" w:eastAsia="Calibri" w:hAnsi="Calibri" w:cs="Calibri"/>
                <w:b/>
                <w:bCs/>
                <w:color w:val="FF0000"/>
                <w:sz w:val="24"/>
              </w:rPr>
            </w:pPr>
            <w:r w:rsidRPr="00F5420C">
              <w:rPr>
                <w:rFonts w:ascii="Calibri" w:eastAsia="Calibri" w:hAnsi="Calibri" w:cs="Calibri"/>
                <w:b/>
                <w:bCs/>
                <w:color w:val="FF0000"/>
                <w:sz w:val="24"/>
              </w:rPr>
              <w:t>£22,084.65</w:t>
            </w:r>
          </w:p>
        </w:tc>
        <w:tc>
          <w:tcPr>
            <w:tcW w:w="1796" w:type="dxa"/>
          </w:tcPr>
          <w:p w14:paraId="27432AAB" w14:textId="12FF8BEF" w:rsidR="00F5420C" w:rsidRPr="00F5420C" w:rsidRDefault="008843E7" w:rsidP="0098338C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F5420C">
              <w:rPr>
                <w:rFonts w:ascii="Calibri" w:eastAsia="Calibri" w:hAnsi="Calibri" w:cs="Calibri"/>
                <w:b/>
                <w:bCs/>
                <w:sz w:val="24"/>
              </w:rPr>
              <w:t>£1</w:t>
            </w:r>
            <w:r w:rsidR="00F5420C" w:rsidRPr="00F5420C">
              <w:rPr>
                <w:rFonts w:ascii="Calibri" w:eastAsia="Calibri" w:hAnsi="Calibri" w:cs="Calibri"/>
                <w:b/>
                <w:bCs/>
                <w:sz w:val="24"/>
              </w:rPr>
              <w:t>3,167.92</w:t>
            </w:r>
          </w:p>
        </w:tc>
      </w:tr>
    </w:tbl>
    <w:p w14:paraId="375F357C" w14:textId="10446806" w:rsidR="0098338C" w:rsidRPr="009E2277" w:rsidRDefault="00F5420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 w:rsidR="0098338C" w:rsidRPr="009E2277">
        <w:rPr>
          <w:rFonts w:ascii="Calibri" w:eastAsia="Calibri" w:hAnsi="Calibri" w:cs="Calibri"/>
          <w:sz w:val="24"/>
        </w:rPr>
        <w:t>Notes:</w:t>
      </w:r>
    </w:p>
    <w:p w14:paraId="6AB07899" w14:textId="53DCA999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t xml:space="preserve">● Net cashflow for year: negative </w:t>
      </w:r>
      <w:r w:rsidRPr="00F5420C">
        <w:rPr>
          <w:rFonts w:ascii="Calibri" w:eastAsia="Calibri" w:hAnsi="Calibri" w:cs="Calibri"/>
          <w:color w:val="FF0000"/>
          <w:sz w:val="24"/>
        </w:rPr>
        <w:t>£3,467.83</w:t>
      </w:r>
      <w:r w:rsidR="00F5420C">
        <w:rPr>
          <w:rFonts w:ascii="Calibri" w:eastAsia="Calibri" w:hAnsi="Calibri" w:cs="Calibri"/>
          <w:sz w:val="24"/>
        </w:rPr>
        <w:br/>
      </w:r>
      <w:r w:rsidRPr="009E2277">
        <w:rPr>
          <w:rFonts w:ascii="Calibri" w:eastAsia="Calibri" w:hAnsi="Calibri" w:cs="Calibri"/>
          <w:sz w:val="24"/>
        </w:rPr>
        <w:t xml:space="preserve">● PTFA General cashflow: negative </w:t>
      </w:r>
      <w:r w:rsidRPr="00F5420C">
        <w:rPr>
          <w:rFonts w:ascii="Calibri" w:eastAsia="Calibri" w:hAnsi="Calibri" w:cs="Calibri"/>
          <w:color w:val="FF0000"/>
          <w:sz w:val="24"/>
        </w:rPr>
        <w:t>£521.60</w:t>
      </w:r>
    </w:p>
    <w:p w14:paraId="0F0F6F3C" w14:textId="77777777" w:rsidR="0098338C" w:rsidRPr="00F5420C" w:rsidRDefault="0098338C" w:rsidP="0098338C">
      <w:pPr>
        <w:spacing w:line="240" w:lineRule="auto"/>
        <w:ind w:left="720"/>
        <w:rPr>
          <w:rFonts w:ascii="Calibri" w:eastAsia="Calibri" w:hAnsi="Calibri" w:cs="Calibri"/>
          <w:sz w:val="28"/>
          <w:szCs w:val="28"/>
        </w:rPr>
      </w:pPr>
      <w:r w:rsidRPr="00F5420C">
        <w:rPr>
          <w:rFonts w:ascii="Calibri" w:eastAsia="Calibri" w:hAnsi="Calibri" w:cs="Calibri"/>
          <w:sz w:val="28"/>
          <w:szCs w:val="28"/>
        </w:rPr>
        <w:t>PTFA Support for School Activities</w:t>
      </w:r>
    </w:p>
    <w:p w14:paraId="5E2B089E" w14:textId="77777777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t xml:space="preserve">● CIL matched funding, Peter Hopkins Hall lighting: </w:t>
      </w:r>
      <w:r w:rsidRPr="00F5420C">
        <w:rPr>
          <w:rFonts w:ascii="Calibri" w:eastAsia="Calibri" w:hAnsi="Calibri" w:cs="Calibri"/>
          <w:b/>
          <w:bCs/>
          <w:sz w:val="24"/>
        </w:rPr>
        <w:t>£7,750</w:t>
      </w:r>
    </w:p>
    <w:p w14:paraId="11F0937F" w14:textId="1E614045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t>Donations were additionally approved to support Springfest and the Year 11 Prom, but these</w:t>
      </w:r>
      <w:r w:rsidR="00F5420C">
        <w:rPr>
          <w:rFonts w:ascii="Calibri" w:eastAsia="Calibri" w:hAnsi="Calibri" w:cs="Calibri"/>
          <w:sz w:val="24"/>
        </w:rPr>
        <w:t xml:space="preserve"> </w:t>
      </w:r>
      <w:r w:rsidRPr="009E2277">
        <w:rPr>
          <w:rFonts w:ascii="Calibri" w:eastAsia="Calibri" w:hAnsi="Calibri" w:cs="Calibri"/>
          <w:sz w:val="24"/>
        </w:rPr>
        <w:t>have not been claimed.</w:t>
      </w:r>
    </w:p>
    <w:p w14:paraId="55572CBA" w14:textId="77777777" w:rsidR="0098338C" w:rsidRPr="00F5420C" w:rsidRDefault="0098338C" w:rsidP="0098338C">
      <w:pPr>
        <w:spacing w:line="240" w:lineRule="auto"/>
        <w:ind w:left="720"/>
        <w:rPr>
          <w:rFonts w:ascii="Calibri" w:eastAsia="Calibri" w:hAnsi="Calibri" w:cs="Calibri"/>
          <w:sz w:val="28"/>
          <w:szCs w:val="28"/>
        </w:rPr>
      </w:pPr>
      <w:r w:rsidRPr="00F5420C">
        <w:rPr>
          <w:rFonts w:ascii="Calibri" w:eastAsia="Calibri" w:hAnsi="Calibri" w:cs="Calibri"/>
          <w:sz w:val="28"/>
          <w:szCs w:val="28"/>
        </w:rPr>
        <w:t>Comments</w:t>
      </w:r>
    </w:p>
    <w:p w14:paraId="34564EB0" w14:textId="2E309644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t>The PTFA is showing a loss over the year, but the bulk of this can be attributed to the Kinetic</w:t>
      </w:r>
      <w:r w:rsidR="00F5420C">
        <w:rPr>
          <w:rFonts w:ascii="Calibri" w:eastAsia="Calibri" w:hAnsi="Calibri" w:cs="Calibri"/>
          <w:sz w:val="24"/>
        </w:rPr>
        <w:t xml:space="preserve"> </w:t>
      </w:r>
      <w:r w:rsidRPr="009E2277">
        <w:rPr>
          <w:rFonts w:ascii="Calibri" w:eastAsia="Calibri" w:hAnsi="Calibri" w:cs="Calibri"/>
          <w:sz w:val="24"/>
        </w:rPr>
        <w:t>and Concert funds deliberately winding down after the decision to get rid of ringfenced</w:t>
      </w:r>
      <w:r w:rsidR="00F5420C">
        <w:rPr>
          <w:rFonts w:ascii="Calibri" w:eastAsia="Calibri" w:hAnsi="Calibri" w:cs="Calibri"/>
          <w:sz w:val="24"/>
        </w:rPr>
        <w:t xml:space="preserve"> </w:t>
      </w:r>
      <w:r w:rsidRPr="009E2277">
        <w:rPr>
          <w:rFonts w:ascii="Calibri" w:eastAsia="Calibri" w:hAnsi="Calibri" w:cs="Calibri"/>
          <w:sz w:val="24"/>
        </w:rPr>
        <w:t>“buckets”. We should expect this to continue until ringfenced funds are zeroed out.</w:t>
      </w:r>
      <w:r w:rsidR="00F5420C">
        <w:rPr>
          <w:rFonts w:ascii="Calibri" w:eastAsia="Calibri" w:hAnsi="Calibri" w:cs="Calibri"/>
          <w:sz w:val="24"/>
        </w:rPr>
        <w:br/>
      </w:r>
      <w:r w:rsidRPr="009E2277">
        <w:rPr>
          <w:rFonts w:ascii="Calibri" w:eastAsia="Calibri" w:hAnsi="Calibri" w:cs="Calibri"/>
          <w:sz w:val="24"/>
        </w:rPr>
        <w:t>The PTFA’s own funds have remained relatively stable, although it should be noted that:</w:t>
      </w:r>
    </w:p>
    <w:p w14:paraId="4688A7E7" w14:textId="32ECC0B6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t>● Not all approved donations have been claimed (unclear whether they will be);</w:t>
      </w:r>
      <w:r w:rsidR="00F5420C">
        <w:rPr>
          <w:rFonts w:ascii="Calibri" w:eastAsia="Calibri" w:hAnsi="Calibri" w:cs="Calibri"/>
          <w:sz w:val="24"/>
        </w:rPr>
        <w:br/>
      </w:r>
      <w:r w:rsidRPr="009E2277">
        <w:rPr>
          <w:rFonts w:ascii="Calibri" w:eastAsia="Calibri" w:hAnsi="Calibri" w:cs="Calibri"/>
          <w:sz w:val="24"/>
        </w:rPr>
        <w:t>● The above figures include £1,000 “clawed back” from a legacy reserve bank account</w:t>
      </w:r>
      <w:r w:rsidR="00F5420C">
        <w:rPr>
          <w:rFonts w:ascii="Calibri" w:eastAsia="Calibri" w:hAnsi="Calibri" w:cs="Calibri"/>
          <w:sz w:val="24"/>
        </w:rPr>
        <w:br/>
      </w:r>
      <w:r w:rsidRPr="009E2277">
        <w:rPr>
          <w:rFonts w:ascii="Calibri" w:eastAsia="Calibri" w:hAnsi="Calibri" w:cs="Calibri"/>
          <w:sz w:val="24"/>
        </w:rPr>
        <w:t>(received on account closure) - i.e. a one-off sum which we can’t rely on in future.</w:t>
      </w:r>
    </w:p>
    <w:p w14:paraId="039E2FE0" w14:textId="77777777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t>With the above in mind, fundraising activities accounted for £10,050.95 of general income.</w:t>
      </w:r>
    </w:p>
    <w:p w14:paraId="07877410" w14:textId="73354958" w:rsidR="0098338C" w:rsidRPr="009E2277" w:rsidRDefault="0098338C" w:rsidP="0098338C">
      <w:pPr>
        <w:spacing w:line="240" w:lineRule="auto"/>
        <w:ind w:left="720"/>
        <w:rPr>
          <w:rFonts w:ascii="Calibri" w:eastAsia="Calibri" w:hAnsi="Calibri" w:cs="Calibri"/>
          <w:sz w:val="24"/>
        </w:rPr>
      </w:pPr>
      <w:r w:rsidRPr="009E2277">
        <w:rPr>
          <w:rFonts w:ascii="Calibri" w:eastAsia="Calibri" w:hAnsi="Calibri" w:cs="Calibri"/>
          <w:sz w:val="24"/>
        </w:rPr>
        <w:lastRenderedPageBreak/>
        <w:t>General outgoings after donations are deducted amounted to £2,300.95, meaning the PTFA</w:t>
      </w:r>
      <w:r w:rsidR="00F5420C">
        <w:rPr>
          <w:rFonts w:ascii="Calibri" w:eastAsia="Calibri" w:hAnsi="Calibri" w:cs="Calibri"/>
          <w:sz w:val="24"/>
        </w:rPr>
        <w:t xml:space="preserve"> </w:t>
      </w:r>
      <w:r w:rsidRPr="009E2277">
        <w:rPr>
          <w:rFonts w:ascii="Calibri" w:eastAsia="Calibri" w:hAnsi="Calibri" w:cs="Calibri"/>
          <w:sz w:val="24"/>
        </w:rPr>
        <w:t>is spending 22.9% of funds raised in expenses (i.e. approx £0.23 per £1 raised)</w:t>
      </w:r>
    </w:p>
    <w:p w14:paraId="380C5762" w14:textId="77777777" w:rsidR="00472FE3" w:rsidRDefault="002C17CB" w:rsidP="003B120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Chairpersons Report</w:t>
      </w:r>
    </w:p>
    <w:p w14:paraId="4C8127F6" w14:textId="77777777" w:rsidR="002C17CB" w:rsidRDefault="002C17CB" w:rsidP="002C17CB">
      <w:pPr>
        <w:pStyle w:val="ListParagraph"/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>Fez read out her report as follows:</w:t>
      </w:r>
    </w:p>
    <w:p w14:paraId="51FD1ADB" w14:textId="0C88C59D" w:rsidR="008E01DC" w:rsidRPr="008E01DC" w:rsidRDefault="00F94AA3" w:rsidP="008E0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Firstly</w:t>
      </w:r>
      <w:r w:rsidR="008E01DC">
        <w:rPr>
          <w:sz w:val="24"/>
          <w:szCs w:val="24"/>
        </w:rPr>
        <w:t xml:space="preserve"> a very warm welcome to everyone taking time out of their day to be here.  So last </w:t>
      </w:r>
      <w:r>
        <w:rPr>
          <w:sz w:val="24"/>
          <w:szCs w:val="24"/>
        </w:rPr>
        <w:t>year</w:t>
      </w:r>
      <w:r w:rsidR="008E01DC">
        <w:rPr>
          <w:sz w:val="24"/>
          <w:szCs w:val="24"/>
        </w:rPr>
        <w:t xml:space="preserve"> at our AGM we were newly formed and </w:t>
      </w:r>
      <w:r>
        <w:rPr>
          <w:sz w:val="24"/>
          <w:szCs w:val="24"/>
        </w:rPr>
        <w:t>finding</w:t>
      </w:r>
      <w:r w:rsidR="008E01DC">
        <w:rPr>
          <w:sz w:val="24"/>
          <w:szCs w:val="24"/>
        </w:rPr>
        <w:t xml:space="preserve"> out </w:t>
      </w:r>
      <w:r>
        <w:rPr>
          <w:sz w:val="24"/>
          <w:szCs w:val="24"/>
        </w:rPr>
        <w:t>everyone’s</w:t>
      </w:r>
      <w:r w:rsidR="008E01DC">
        <w:rPr>
          <w:sz w:val="24"/>
          <w:szCs w:val="24"/>
        </w:rPr>
        <w:t xml:space="preserve"> </w:t>
      </w:r>
      <w:r>
        <w:rPr>
          <w:sz w:val="24"/>
          <w:szCs w:val="24"/>
        </w:rPr>
        <w:t>strength’s</w:t>
      </w:r>
      <w:r w:rsidR="008E01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E01DC">
        <w:rPr>
          <w:sz w:val="24"/>
          <w:szCs w:val="24"/>
        </w:rPr>
        <w:t>throughout the year we have and now we run like a well oiled machine</w:t>
      </w:r>
      <w:r>
        <w:rPr>
          <w:sz w:val="24"/>
          <w:szCs w:val="24"/>
        </w:rPr>
        <w:t>.</w:t>
      </w:r>
      <w:r w:rsidR="008E01DC">
        <w:rPr>
          <w:sz w:val="24"/>
          <w:szCs w:val="24"/>
        </w:rPr>
        <w:t xml:space="preserve">  </w:t>
      </w:r>
      <w:r w:rsidR="008E01DC">
        <w:rPr>
          <w:sz w:val="24"/>
          <w:szCs w:val="24"/>
        </w:rPr>
        <w:br/>
        <w:t xml:space="preserve">We stated that we </w:t>
      </w:r>
      <w:r>
        <w:rPr>
          <w:sz w:val="24"/>
          <w:szCs w:val="24"/>
        </w:rPr>
        <w:t>were</w:t>
      </w:r>
      <w:r w:rsidR="008E01DC">
        <w:rPr>
          <w:sz w:val="24"/>
          <w:szCs w:val="24"/>
        </w:rPr>
        <w:t xml:space="preserve"> </w:t>
      </w:r>
      <w:r>
        <w:rPr>
          <w:sz w:val="24"/>
          <w:szCs w:val="24"/>
        </w:rPr>
        <w:t>helping</w:t>
      </w:r>
      <w:r w:rsidR="008E01DC">
        <w:rPr>
          <w:sz w:val="24"/>
          <w:szCs w:val="24"/>
        </w:rPr>
        <w:t xml:space="preserve"> to secure a grant to place new seating in the PHH.  This has been a lot of hard work, but we have achieved this and I </w:t>
      </w:r>
      <w:r>
        <w:rPr>
          <w:sz w:val="24"/>
          <w:szCs w:val="24"/>
        </w:rPr>
        <w:t>kn</w:t>
      </w:r>
      <w:r w:rsidR="008E01DC">
        <w:rPr>
          <w:sz w:val="24"/>
          <w:szCs w:val="24"/>
        </w:rPr>
        <w:t>ow that Richard loves to</w:t>
      </w:r>
      <w:r>
        <w:rPr>
          <w:sz w:val="24"/>
          <w:szCs w:val="24"/>
        </w:rPr>
        <w:t xml:space="preserve"> </w:t>
      </w:r>
      <w:r w:rsidR="008E01DC">
        <w:rPr>
          <w:sz w:val="24"/>
          <w:szCs w:val="24"/>
        </w:rPr>
        <w:t>see everyone</w:t>
      </w:r>
      <w:r>
        <w:rPr>
          <w:sz w:val="24"/>
          <w:szCs w:val="24"/>
        </w:rPr>
        <w:t>’</w:t>
      </w:r>
      <w:r w:rsidR="008E01DC">
        <w:rPr>
          <w:sz w:val="24"/>
          <w:szCs w:val="24"/>
        </w:rPr>
        <w:t>s faces now when he addresses people in assemblies.</w:t>
      </w:r>
      <w:r w:rsidR="008E01DC">
        <w:rPr>
          <w:sz w:val="24"/>
          <w:szCs w:val="24"/>
        </w:rPr>
        <w:br/>
      </w:r>
      <w:r>
        <w:rPr>
          <w:sz w:val="24"/>
          <w:szCs w:val="24"/>
        </w:rPr>
        <w:t>Following</w:t>
      </w:r>
      <w:r w:rsidR="008E01DC">
        <w:rPr>
          <w:sz w:val="24"/>
          <w:szCs w:val="24"/>
        </w:rPr>
        <w:t xml:space="preserve"> on from our success last year with the fo</w:t>
      </w:r>
      <w:r>
        <w:rPr>
          <w:sz w:val="24"/>
          <w:szCs w:val="24"/>
        </w:rPr>
        <w:t>llowi</w:t>
      </w:r>
      <w:r w:rsidR="008E01DC">
        <w:rPr>
          <w:sz w:val="24"/>
          <w:szCs w:val="24"/>
        </w:rPr>
        <w:t>ng events:</w:t>
      </w:r>
      <w:r w:rsidR="008E01D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E01DC">
        <w:rPr>
          <w:sz w:val="24"/>
          <w:szCs w:val="24"/>
        </w:rPr>
        <w:t xml:space="preserve">Halloween </w:t>
      </w:r>
      <w:r>
        <w:rPr>
          <w:sz w:val="24"/>
          <w:szCs w:val="24"/>
        </w:rPr>
        <w:t>discos</w:t>
      </w:r>
      <w:r w:rsidR="008E01DC">
        <w:rPr>
          <w:sz w:val="24"/>
          <w:szCs w:val="24"/>
        </w:rPr>
        <w:t xml:space="preserve"> Year 7 and Year 8</w:t>
      </w:r>
      <w:r w:rsidR="008E01D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E01DC">
        <w:rPr>
          <w:sz w:val="24"/>
          <w:szCs w:val="24"/>
        </w:rPr>
        <w:t xml:space="preserve">Fashion Show and Music </w:t>
      </w:r>
      <w:r>
        <w:rPr>
          <w:sz w:val="24"/>
          <w:szCs w:val="24"/>
        </w:rPr>
        <w:t>Festival -</w:t>
      </w:r>
      <w:r w:rsidR="008E01DC">
        <w:rPr>
          <w:sz w:val="24"/>
          <w:szCs w:val="24"/>
        </w:rPr>
        <w:t xml:space="preserve"> support with </w:t>
      </w:r>
      <w:r>
        <w:rPr>
          <w:sz w:val="24"/>
          <w:szCs w:val="24"/>
        </w:rPr>
        <w:t>refreshments</w:t>
      </w:r>
      <w:r w:rsidR="008E01D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E01DC">
        <w:rPr>
          <w:sz w:val="24"/>
          <w:szCs w:val="24"/>
        </w:rPr>
        <w:t xml:space="preserve">Many bingo nights and now finding that they are </w:t>
      </w:r>
      <w:r>
        <w:rPr>
          <w:sz w:val="24"/>
          <w:szCs w:val="24"/>
        </w:rPr>
        <w:t>successful</w:t>
      </w:r>
      <w:r w:rsidR="008E01DC">
        <w:rPr>
          <w:sz w:val="24"/>
          <w:szCs w:val="24"/>
        </w:rPr>
        <w:t xml:space="preserve"> during the winter months up until Easter.</w:t>
      </w:r>
      <w:r w:rsidR="008E01DC">
        <w:rPr>
          <w:sz w:val="24"/>
          <w:szCs w:val="24"/>
        </w:rPr>
        <w:br/>
        <w:t>We also have some other events lined up wh</w:t>
      </w:r>
      <w:r>
        <w:rPr>
          <w:sz w:val="24"/>
          <w:szCs w:val="24"/>
        </w:rPr>
        <w:t>i</w:t>
      </w:r>
      <w:r w:rsidR="008E01DC">
        <w:rPr>
          <w:sz w:val="24"/>
          <w:szCs w:val="24"/>
        </w:rPr>
        <w:t>ch are:</w:t>
      </w:r>
      <w:r w:rsidR="008E01DC">
        <w:rPr>
          <w:sz w:val="24"/>
          <w:szCs w:val="24"/>
        </w:rPr>
        <w:br/>
      </w:r>
      <w:r>
        <w:rPr>
          <w:sz w:val="24"/>
          <w:szCs w:val="24"/>
        </w:rPr>
        <w:t xml:space="preserve"> -</w:t>
      </w:r>
      <w:r w:rsidR="008E01DC">
        <w:rPr>
          <w:sz w:val="24"/>
          <w:szCs w:val="24"/>
        </w:rPr>
        <w:t>Bingo 21</w:t>
      </w:r>
      <w:r w:rsidR="008E01DC" w:rsidRPr="008E01DC">
        <w:rPr>
          <w:sz w:val="24"/>
          <w:szCs w:val="24"/>
          <w:vertAlign w:val="superscript"/>
        </w:rPr>
        <w:t>st</w:t>
      </w:r>
      <w:r w:rsidR="008E01DC">
        <w:rPr>
          <w:sz w:val="24"/>
          <w:szCs w:val="24"/>
        </w:rPr>
        <w:t xml:space="preserve"> November</w:t>
      </w:r>
      <w:r w:rsidR="008E01D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E01DC">
        <w:rPr>
          <w:sz w:val="24"/>
          <w:szCs w:val="24"/>
        </w:rPr>
        <w:t>Christmas Fair 28</w:t>
      </w:r>
      <w:r w:rsidR="008E01DC" w:rsidRPr="008E01DC">
        <w:rPr>
          <w:sz w:val="24"/>
          <w:szCs w:val="24"/>
          <w:vertAlign w:val="superscript"/>
        </w:rPr>
        <w:t>th</w:t>
      </w:r>
      <w:r w:rsidR="008E01DC">
        <w:rPr>
          <w:sz w:val="24"/>
          <w:szCs w:val="24"/>
        </w:rPr>
        <w:t xml:space="preserve"> November.</w:t>
      </w:r>
      <w:r w:rsidR="008E01DC">
        <w:rPr>
          <w:sz w:val="24"/>
          <w:szCs w:val="24"/>
        </w:rPr>
        <w:br/>
        <w:t xml:space="preserve">As you </w:t>
      </w:r>
      <w:r w:rsidR="008B6653">
        <w:rPr>
          <w:sz w:val="24"/>
          <w:szCs w:val="24"/>
        </w:rPr>
        <w:t xml:space="preserve">can appreciate the seating has taken up a massive chunk of our fundraising but we have still managed to </w:t>
      </w:r>
      <w:r>
        <w:rPr>
          <w:sz w:val="24"/>
          <w:szCs w:val="24"/>
        </w:rPr>
        <w:t>present</w:t>
      </w:r>
      <w:r w:rsidR="008B6653">
        <w:rPr>
          <w:sz w:val="24"/>
          <w:szCs w:val="24"/>
        </w:rPr>
        <w:t xml:space="preserve"> all Year 8’s (who at the time were Year 7’s</w:t>
      </w:r>
      <w:r>
        <w:rPr>
          <w:sz w:val="24"/>
          <w:szCs w:val="24"/>
        </w:rPr>
        <w:t>)</w:t>
      </w:r>
      <w:r w:rsidR="008B6653">
        <w:rPr>
          <w:sz w:val="24"/>
          <w:szCs w:val="24"/>
        </w:rPr>
        <w:t xml:space="preserve"> with an ice cream on the last day of term.</w:t>
      </w:r>
      <w:r w:rsidR="008B6653">
        <w:rPr>
          <w:sz w:val="24"/>
          <w:szCs w:val="24"/>
        </w:rPr>
        <w:br/>
        <w:t>The current Year 7’s with a pumpkin to design and show case at their Halloween disco.</w:t>
      </w:r>
      <w:r w:rsidR="00C64B4C">
        <w:rPr>
          <w:sz w:val="24"/>
          <w:szCs w:val="24"/>
        </w:rPr>
        <w:br/>
        <w:t>W</w:t>
      </w:r>
      <w:r>
        <w:rPr>
          <w:sz w:val="24"/>
          <w:szCs w:val="24"/>
        </w:rPr>
        <w:t>e</w:t>
      </w:r>
      <w:r w:rsidR="00C64B4C">
        <w:rPr>
          <w:sz w:val="24"/>
          <w:szCs w:val="24"/>
        </w:rPr>
        <w:t xml:space="preserve"> have also been very busy behind the scenes to get in place a 100 Lottery Club.  The success lies with 4 people – Emma, Geoff, Rachel and Richard.  Whos</w:t>
      </w:r>
      <w:r>
        <w:rPr>
          <w:sz w:val="24"/>
          <w:szCs w:val="24"/>
        </w:rPr>
        <w:t>e</w:t>
      </w:r>
      <w:r w:rsidR="00C64B4C">
        <w:rPr>
          <w:sz w:val="24"/>
          <w:szCs w:val="24"/>
        </w:rPr>
        <w:t xml:space="preserve"> tireless work well into the lat</w:t>
      </w:r>
      <w:r>
        <w:rPr>
          <w:sz w:val="24"/>
          <w:szCs w:val="24"/>
        </w:rPr>
        <w:t>e</w:t>
      </w:r>
      <w:r w:rsidR="00C64B4C">
        <w:rPr>
          <w:sz w:val="24"/>
          <w:szCs w:val="24"/>
        </w:rPr>
        <w:t xml:space="preserve"> hou</w:t>
      </w:r>
      <w:r>
        <w:rPr>
          <w:sz w:val="24"/>
          <w:szCs w:val="24"/>
        </w:rPr>
        <w:t>rs</w:t>
      </w:r>
      <w:r w:rsidR="00C64B4C">
        <w:rPr>
          <w:sz w:val="24"/>
          <w:szCs w:val="24"/>
        </w:rPr>
        <w:t xml:space="preserve"> has made sure that it was possible to launch ready for September and hopefully as word gets out this will only gain in popularity and become a fundamental part of our PTFA.</w:t>
      </w:r>
      <w:r w:rsidR="00C64B4C">
        <w:rPr>
          <w:sz w:val="24"/>
          <w:szCs w:val="24"/>
        </w:rPr>
        <w:br/>
        <w:t xml:space="preserve">As always we have plans on our horizon and we are now looking at securing some more vital funding to hopefully </w:t>
      </w:r>
      <w:r>
        <w:rPr>
          <w:sz w:val="24"/>
          <w:szCs w:val="24"/>
        </w:rPr>
        <w:t>a</w:t>
      </w:r>
      <w:r w:rsidR="00C64B4C">
        <w:rPr>
          <w:sz w:val="24"/>
          <w:szCs w:val="24"/>
        </w:rPr>
        <w:t>chieve a hig</w:t>
      </w:r>
      <w:r>
        <w:rPr>
          <w:sz w:val="24"/>
          <w:szCs w:val="24"/>
        </w:rPr>
        <w:t>h</w:t>
      </w:r>
      <w:r w:rsidR="00C64B4C">
        <w:rPr>
          <w:sz w:val="24"/>
          <w:szCs w:val="24"/>
        </w:rPr>
        <w:t xml:space="preserve"> tech forensic working autopsy table.</w:t>
      </w:r>
      <w:r w:rsidR="00C64B4C">
        <w:rPr>
          <w:sz w:val="24"/>
          <w:szCs w:val="24"/>
        </w:rPr>
        <w:br/>
        <w:t xml:space="preserve">With all of the above said, none of this would have been possible without the amazing team of 15 dedicated parents/staff that all make what we do achievable.  Without all of your hard work there would </w:t>
      </w:r>
      <w:r w:rsidR="00641DC7">
        <w:rPr>
          <w:sz w:val="24"/>
          <w:szCs w:val="24"/>
        </w:rPr>
        <w:t>b</w:t>
      </w:r>
      <w:r w:rsidR="00C64B4C">
        <w:rPr>
          <w:sz w:val="24"/>
          <w:szCs w:val="24"/>
        </w:rPr>
        <w:t>e no events for our wider community to attend, and then there</w:t>
      </w:r>
      <w:r w:rsidR="00641DC7">
        <w:rPr>
          <w:sz w:val="24"/>
          <w:szCs w:val="24"/>
        </w:rPr>
        <w:t>’</w:t>
      </w:r>
      <w:r w:rsidR="00C64B4C">
        <w:rPr>
          <w:sz w:val="24"/>
          <w:szCs w:val="24"/>
        </w:rPr>
        <w:t>s the community themselves who without their supports would not be possible.</w:t>
      </w:r>
      <w:r w:rsidR="00C64B4C">
        <w:rPr>
          <w:sz w:val="24"/>
          <w:szCs w:val="24"/>
        </w:rPr>
        <w:br/>
        <w:t>What more is ther</w:t>
      </w:r>
      <w:r w:rsidR="00641DC7">
        <w:rPr>
          <w:sz w:val="24"/>
          <w:szCs w:val="24"/>
        </w:rPr>
        <w:t>e</w:t>
      </w:r>
      <w:r w:rsidR="00C64B4C">
        <w:rPr>
          <w:sz w:val="24"/>
          <w:szCs w:val="24"/>
        </w:rPr>
        <w:t xml:space="preserve"> to say other t</w:t>
      </w:r>
      <w:r w:rsidR="00641DC7">
        <w:rPr>
          <w:sz w:val="24"/>
          <w:szCs w:val="24"/>
        </w:rPr>
        <w:t>h</w:t>
      </w:r>
      <w:r w:rsidR="00C64B4C">
        <w:rPr>
          <w:sz w:val="24"/>
          <w:szCs w:val="24"/>
        </w:rPr>
        <w:t>an I am a lucky lady to work with you all, as well as meet some fantastic people, so I’d like to say a massive thank</w:t>
      </w:r>
      <w:r w:rsidR="00641DC7">
        <w:rPr>
          <w:sz w:val="24"/>
          <w:szCs w:val="24"/>
        </w:rPr>
        <w:t xml:space="preserve"> </w:t>
      </w:r>
      <w:r w:rsidR="00C64B4C">
        <w:rPr>
          <w:sz w:val="24"/>
          <w:szCs w:val="24"/>
        </w:rPr>
        <w:t>you to you all for rai</w:t>
      </w:r>
      <w:r w:rsidR="00641DC7">
        <w:rPr>
          <w:sz w:val="24"/>
          <w:szCs w:val="24"/>
        </w:rPr>
        <w:t>sing</w:t>
      </w:r>
      <w:r w:rsidR="00C64B4C">
        <w:rPr>
          <w:sz w:val="24"/>
          <w:szCs w:val="24"/>
        </w:rPr>
        <w:t xml:space="preserve"> these vital funds</w:t>
      </w:r>
      <w:r w:rsidR="00614BB3">
        <w:rPr>
          <w:sz w:val="24"/>
          <w:szCs w:val="24"/>
        </w:rPr>
        <w:t>, bec</w:t>
      </w:r>
      <w:r w:rsidR="00641DC7">
        <w:rPr>
          <w:sz w:val="24"/>
          <w:szCs w:val="24"/>
        </w:rPr>
        <w:t>a</w:t>
      </w:r>
      <w:r w:rsidR="00614BB3">
        <w:rPr>
          <w:sz w:val="24"/>
          <w:szCs w:val="24"/>
        </w:rPr>
        <w:t>u</w:t>
      </w:r>
      <w:r w:rsidR="00641DC7">
        <w:rPr>
          <w:sz w:val="24"/>
          <w:szCs w:val="24"/>
        </w:rPr>
        <w:t>se</w:t>
      </w:r>
      <w:r w:rsidR="00614BB3">
        <w:rPr>
          <w:sz w:val="24"/>
          <w:szCs w:val="24"/>
        </w:rPr>
        <w:t xml:space="preserve"> without you all none of this would be possible and I look forward to another successful year ahead.  With our next big event which we are excited to promote being the annual Christmas Fair being held on 28</w:t>
      </w:r>
      <w:r w:rsidR="00614BB3" w:rsidRPr="00614BB3">
        <w:rPr>
          <w:sz w:val="24"/>
          <w:szCs w:val="24"/>
          <w:vertAlign w:val="superscript"/>
        </w:rPr>
        <w:t>th</w:t>
      </w:r>
      <w:r w:rsidR="00614BB3">
        <w:rPr>
          <w:sz w:val="24"/>
          <w:szCs w:val="24"/>
        </w:rPr>
        <w:t xml:space="preserve"> November.</w:t>
      </w:r>
    </w:p>
    <w:p w14:paraId="13B5FFDF" w14:textId="77777777" w:rsidR="00F5420C" w:rsidRPr="00472FE3" w:rsidRDefault="00F5420C" w:rsidP="00472FE3">
      <w:pPr>
        <w:pStyle w:val="ListParagraph"/>
        <w:rPr>
          <w:sz w:val="24"/>
          <w:szCs w:val="24"/>
        </w:rPr>
      </w:pPr>
    </w:p>
    <w:p w14:paraId="2950F357" w14:textId="77777777" w:rsidR="00472FE3" w:rsidRDefault="002C17CB" w:rsidP="003B120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Election of the Officers of the Committee</w:t>
      </w:r>
    </w:p>
    <w:p w14:paraId="2194104C" w14:textId="77777777" w:rsidR="00F07BF3" w:rsidRDefault="002C17CB" w:rsidP="00A6314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C17CB">
        <w:rPr>
          <w:b/>
          <w:i/>
          <w:sz w:val="24"/>
          <w:szCs w:val="24"/>
        </w:rPr>
        <w:t>Chair</w:t>
      </w:r>
      <w:r w:rsidR="00F07BF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Fez – proposed by Rachel, seconded by </w:t>
      </w:r>
      <w:r w:rsidR="00020F50">
        <w:rPr>
          <w:sz w:val="24"/>
          <w:szCs w:val="24"/>
        </w:rPr>
        <w:t>Suzi</w:t>
      </w:r>
      <w:r>
        <w:rPr>
          <w:sz w:val="24"/>
          <w:szCs w:val="24"/>
        </w:rPr>
        <w:t xml:space="preserve"> - unanimously agreed</w:t>
      </w:r>
      <w:r w:rsidR="00D94E51">
        <w:rPr>
          <w:sz w:val="24"/>
          <w:szCs w:val="24"/>
        </w:rPr>
        <w:t>.</w:t>
      </w:r>
    </w:p>
    <w:p w14:paraId="4841F638" w14:textId="2FCF5A14" w:rsidR="00F07BF3" w:rsidRDefault="002C17CB" w:rsidP="00A6314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Treasurer</w:t>
      </w:r>
      <w:r w:rsidR="00F07BF3">
        <w:rPr>
          <w:sz w:val="24"/>
          <w:szCs w:val="24"/>
        </w:rPr>
        <w:t xml:space="preserve"> – </w:t>
      </w:r>
      <w:r w:rsidR="00020F50">
        <w:rPr>
          <w:sz w:val="24"/>
          <w:szCs w:val="24"/>
        </w:rPr>
        <w:t>Geoff – proposed by Suzi</w:t>
      </w:r>
      <w:r>
        <w:rPr>
          <w:sz w:val="24"/>
          <w:szCs w:val="24"/>
        </w:rPr>
        <w:t xml:space="preserve">, seconded by </w:t>
      </w:r>
      <w:r w:rsidR="000D635B">
        <w:rPr>
          <w:sz w:val="24"/>
          <w:szCs w:val="24"/>
        </w:rPr>
        <w:t>Emma</w:t>
      </w:r>
      <w:r>
        <w:rPr>
          <w:sz w:val="24"/>
          <w:szCs w:val="24"/>
        </w:rPr>
        <w:t xml:space="preserve"> – unanimously agreed</w:t>
      </w:r>
      <w:r w:rsidR="00D94E51">
        <w:rPr>
          <w:sz w:val="24"/>
          <w:szCs w:val="24"/>
        </w:rPr>
        <w:t>.</w:t>
      </w:r>
    </w:p>
    <w:p w14:paraId="258FAE8B" w14:textId="1074BC3B" w:rsidR="00F07BF3" w:rsidRDefault="002C17CB" w:rsidP="00A6314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Secretary</w:t>
      </w:r>
      <w:r w:rsidR="00F07BF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Rachel – proposed by </w:t>
      </w:r>
      <w:r w:rsidR="00020F50">
        <w:rPr>
          <w:sz w:val="24"/>
          <w:szCs w:val="24"/>
        </w:rPr>
        <w:t>Emma</w:t>
      </w:r>
      <w:r>
        <w:rPr>
          <w:sz w:val="24"/>
          <w:szCs w:val="24"/>
        </w:rPr>
        <w:t xml:space="preserve">, seconded by </w:t>
      </w:r>
      <w:r w:rsidR="000D635B">
        <w:rPr>
          <w:sz w:val="24"/>
          <w:szCs w:val="24"/>
        </w:rPr>
        <w:t xml:space="preserve">Gem </w:t>
      </w:r>
      <w:r>
        <w:rPr>
          <w:sz w:val="24"/>
          <w:szCs w:val="24"/>
        </w:rPr>
        <w:t>– unanimously agreed</w:t>
      </w:r>
      <w:r w:rsidR="00D94E51">
        <w:rPr>
          <w:sz w:val="24"/>
          <w:szCs w:val="24"/>
        </w:rPr>
        <w:t>.</w:t>
      </w:r>
    </w:p>
    <w:p w14:paraId="6965E824" w14:textId="1459D4F3" w:rsidR="000D635B" w:rsidRDefault="000D635B" w:rsidP="00A6314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Vice Chair</w:t>
      </w:r>
      <w:r w:rsidR="00641DC7">
        <w:rPr>
          <w:b/>
          <w:i/>
          <w:sz w:val="24"/>
          <w:szCs w:val="24"/>
        </w:rPr>
        <w:t xml:space="preserve"> (not a post stipulated in the constitution, but the PTFA choose to have)</w:t>
      </w:r>
      <w:r>
        <w:rPr>
          <w:b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 - </w:t>
      </w:r>
      <w:r>
        <w:rPr>
          <w:bCs/>
          <w:iCs/>
          <w:sz w:val="24"/>
          <w:szCs w:val="24"/>
        </w:rPr>
        <w:t>Emma – proposed by Rachel, seconded by Fez – unanimously agreed</w:t>
      </w:r>
    </w:p>
    <w:p w14:paraId="1427C910" w14:textId="77777777" w:rsidR="002C17CB" w:rsidRPr="002C17CB" w:rsidRDefault="002C17CB" w:rsidP="002C17CB">
      <w:pPr>
        <w:pStyle w:val="ListParagraph"/>
        <w:ind w:left="1080"/>
        <w:rPr>
          <w:b/>
          <w:i/>
          <w:sz w:val="24"/>
          <w:szCs w:val="24"/>
        </w:rPr>
      </w:pPr>
    </w:p>
    <w:p w14:paraId="555937FD" w14:textId="77777777" w:rsidR="002C17CB" w:rsidRPr="002C17CB" w:rsidRDefault="002C17CB" w:rsidP="002C17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17CB">
        <w:rPr>
          <w:b/>
          <w:i/>
          <w:sz w:val="24"/>
          <w:szCs w:val="24"/>
        </w:rPr>
        <w:t>T</w:t>
      </w:r>
      <w:r>
        <w:rPr>
          <w:b/>
          <w:i/>
          <w:sz w:val="24"/>
          <w:szCs w:val="24"/>
        </w:rPr>
        <w:t>o note the Members of the Committee</w:t>
      </w:r>
    </w:p>
    <w:p w14:paraId="7AD21897" w14:textId="7611DA7E" w:rsidR="002C17CB" w:rsidRDefault="002C17CB" w:rsidP="002C17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Gemma Burt</w:t>
      </w:r>
      <w:r w:rsidR="000D635B">
        <w:rPr>
          <w:sz w:val="24"/>
          <w:szCs w:val="24"/>
        </w:rPr>
        <w:br/>
        <w:t>Laura Farr</w:t>
      </w:r>
    </w:p>
    <w:p w14:paraId="69065EC0" w14:textId="635A4048" w:rsidR="00314391" w:rsidRDefault="002C17CB" w:rsidP="002C17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Suzi Ludgater-Pimlott</w:t>
      </w:r>
    </w:p>
    <w:p w14:paraId="1860FC93" w14:textId="6D23B42B" w:rsidR="000D635B" w:rsidRDefault="000D635B" w:rsidP="002C17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Gem Blackburn</w:t>
      </w:r>
      <w:r>
        <w:rPr>
          <w:sz w:val="24"/>
          <w:szCs w:val="24"/>
        </w:rPr>
        <w:br/>
        <w:t>Leanne Leggett</w:t>
      </w:r>
    </w:p>
    <w:p w14:paraId="346DDC5E" w14:textId="77777777" w:rsidR="00472FE3" w:rsidRPr="00472FE3" w:rsidRDefault="00314391" w:rsidP="002C17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Staff Representative</w:t>
      </w:r>
      <w:r w:rsidR="00D94E51">
        <w:rPr>
          <w:sz w:val="24"/>
          <w:szCs w:val="24"/>
        </w:rPr>
        <w:t>s</w:t>
      </w:r>
      <w:r>
        <w:rPr>
          <w:sz w:val="24"/>
          <w:szCs w:val="24"/>
        </w:rPr>
        <w:t xml:space="preserve"> – Richard Thompson and Rebecca Davis-Mayes</w:t>
      </w:r>
      <w:r w:rsidR="00BD4269">
        <w:rPr>
          <w:b/>
          <w:i/>
          <w:sz w:val="24"/>
          <w:szCs w:val="24"/>
        </w:rPr>
        <w:br/>
      </w:r>
    </w:p>
    <w:p w14:paraId="75ABDC36" w14:textId="77777777" w:rsidR="00472FE3" w:rsidRDefault="002C17CB" w:rsidP="003B120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To adopt the Constitution</w:t>
      </w:r>
    </w:p>
    <w:p w14:paraId="22798327" w14:textId="7EA1D419" w:rsidR="00314391" w:rsidRPr="00641DC7" w:rsidRDefault="00D224A4" w:rsidP="00641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Awaiting the charity commission to approve </w:t>
      </w:r>
      <w:r w:rsidR="00641DC7">
        <w:rPr>
          <w:sz w:val="24"/>
          <w:szCs w:val="24"/>
        </w:rPr>
        <w:t xml:space="preserve">the PTFA to </w:t>
      </w:r>
      <w:r>
        <w:rPr>
          <w:sz w:val="24"/>
          <w:szCs w:val="24"/>
        </w:rPr>
        <w:t xml:space="preserve">change to the </w:t>
      </w:r>
      <w:r w:rsidR="00641DC7">
        <w:rPr>
          <w:sz w:val="24"/>
          <w:szCs w:val="24"/>
        </w:rPr>
        <w:t xml:space="preserve">template </w:t>
      </w:r>
      <w:r>
        <w:rPr>
          <w:sz w:val="24"/>
          <w:szCs w:val="24"/>
        </w:rPr>
        <w:t>constitution</w:t>
      </w:r>
      <w:r w:rsidR="00641DC7">
        <w:rPr>
          <w:sz w:val="24"/>
          <w:szCs w:val="24"/>
        </w:rPr>
        <w:t xml:space="preserve"> document as provided by Parentkind.  It was noted that we may need to hold an EGM to adopt this when permission is given.</w:t>
      </w:r>
    </w:p>
    <w:p w14:paraId="03441659" w14:textId="77777777" w:rsidR="00314391" w:rsidRDefault="00314391" w:rsidP="00314391">
      <w:pPr>
        <w:pStyle w:val="ListParagraph"/>
        <w:rPr>
          <w:b/>
          <w:i/>
          <w:sz w:val="24"/>
          <w:szCs w:val="24"/>
        </w:rPr>
      </w:pPr>
    </w:p>
    <w:p w14:paraId="661A0D33" w14:textId="3850CCB8" w:rsidR="003B1201" w:rsidRPr="002965C9" w:rsidRDefault="002C17CB" w:rsidP="003B120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To set a date for the next </w:t>
      </w:r>
      <w:r w:rsidR="00641DC7">
        <w:rPr>
          <w:b/>
          <w:i/>
          <w:sz w:val="24"/>
          <w:szCs w:val="24"/>
        </w:rPr>
        <w:t>AGM</w:t>
      </w:r>
      <w:r w:rsidR="00314391">
        <w:rPr>
          <w:b/>
          <w:i/>
          <w:sz w:val="24"/>
          <w:szCs w:val="24"/>
        </w:rPr>
        <w:br/>
      </w:r>
      <w:r w:rsidR="00641DC7" w:rsidRPr="00641DC7">
        <w:rPr>
          <w:bCs/>
          <w:i/>
          <w:sz w:val="24"/>
          <w:szCs w:val="24"/>
        </w:rPr>
        <w:t>October 2026 - tbc</w:t>
      </w:r>
    </w:p>
    <w:p w14:paraId="10795891" w14:textId="77777777" w:rsidR="002965C9" w:rsidRDefault="002965C9" w:rsidP="002965C9">
      <w:pPr>
        <w:ind w:firstLine="360"/>
        <w:rPr>
          <w:sz w:val="24"/>
          <w:szCs w:val="24"/>
        </w:rPr>
      </w:pPr>
    </w:p>
    <w:p w14:paraId="1A476089" w14:textId="77777777" w:rsidR="002965C9" w:rsidRPr="002965C9" w:rsidRDefault="002965C9" w:rsidP="002965C9">
      <w:pPr>
        <w:ind w:firstLine="360"/>
        <w:rPr>
          <w:sz w:val="24"/>
          <w:szCs w:val="24"/>
        </w:rPr>
      </w:pPr>
      <w:r>
        <w:rPr>
          <w:sz w:val="24"/>
          <w:szCs w:val="24"/>
        </w:rPr>
        <w:t>The meeting finished at 7.00pm</w:t>
      </w:r>
    </w:p>
    <w:p w14:paraId="3F4F218A" w14:textId="77777777" w:rsidR="002C17CB" w:rsidRPr="002C17CB" w:rsidRDefault="002C17CB" w:rsidP="00AA2A86">
      <w:pPr>
        <w:rPr>
          <w:sz w:val="24"/>
          <w:szCs w:val="24"/>
        </w:rPr>
      </w:pPr>
    </w:p>
    <w:sectPr w:rsidR="002C17CB" w:rsidRPr="002C17CB" w:rsidSect="002969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C1E"/>
    <w:multiLevelType w:val="hybridMultilevel"/>
    <w:tmpl w:val="3F726EB0"/>
    <w:lvl w:ilvl="0" w:tplc="51C69DF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631D8"/>
    <w:multiLevelType w:val="hybridMultilevel"/>
    <w:tmpl w:val="5BA05F34"/>
    <w:lvl w:ilvl="0" w:tplc="AECA0D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327D6"/>
    <w:multiLevelType w:val="hybridMultilevel"/>
    <w:tmpl w:val="1FFA1FBE"/>
    <w:lvl w:ilvl="0" w:tplc="1D42D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175C"/>
    <w:multiLevelType w:val="hybridMultilevel"/>
    <w:tmpl w:val="7C3C6B0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9E6066"/>
    <w:multiLevelType w:val="hybridMultilevel"/>
    <w:tmpl w:val="00066720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1C173E"/>
    <w:multiLevelType w:val="hybridMultilevel"/>
    <w:tmpl w:val="A3B26B7E"/>
    <w:lvl w:ilvl="0" w:tplc="4650BCC4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6"/>
    <w:rsid w:val="00001CAC"/>
    <w:rsid w:val="00020F50"/>
    <w:rsid w:val="00040DA2"/>
    <w:rsid w:val="000850A1"/>
    <w:rsid w:val="000965BA"/>
    <w:rsid w:val="00096A89"/>
    <w:rsid w:val="000D635B"/>
    <w:rsid w:val="000E3DAB"/>
    <w:rsid w:val="000F22BD"/>
    <w:rsid w:val="00104923"/>
    <w:rsid w:val="00121EFA"/>
    <w:rsid w:val="0012217E"/>
    <w:rsid w:val="001365C6"/>
    <w:rsid w:val="00146FD6"/>
    <w:rsid w:val="00154127"/>
    <w:rsid w:val="00155164"/>
    <w:rsid w:val="001555D7"/>
    <w:rsid w:val="00165CF0"/>
    <w:rsid w:val="001A1390"/>
    <w:rsid w:val="001A6069"/>
    <w:rsid w:val="001C581A"/>
    <w:rsid w:val="001C75F3"/>
    <w:rsid w:val="001F55A9"/>
    <w:rsid w:val="002019D7"/>
    <w:rsid w:val="00213DCB"/>
    <w:rsid w:val="00216E16"/>
    <w:rsid w:val="00241433"/>
    <w:rsid w:val="00270835"/>
    <w:rsid w:val="002920C4"/>
    <w:rsid w:val="002965C9"/>
    <w:rsid w:val="00296904"/>
    <w:rsid w:val="00296E71"/>
    <w:rsid w:val="002A3F64"/>
    <w:rsid w:val="002C17CB"/>
    <w:rsid w:val="002E75DE"/>
    <w:rsid w:val="002F79A8"/>
    <w:rsid w:val="003068B9"/>
    <w:rsid w:val="00314391"/>
    <w:rsid w:val="00316BE1"/>
    <w:rsid w:val="003202F8"/>
    <w:rsid w:val="003264B0"/>
    <w:rsid w:val="0039657E"/>
    <w:rsid w:val="003A7721"/>
    <w:rsid w:val="003B1201"/>
    <w:rsid w:val="003B292E"/>
    <w:rsid w:val="003C29C9"/>
    <w:rsid w:val="003D6292"/>
    <w:rsid w:val="003E56DD"/>
    <w:rsid w:val="003E681D"/>
    <w:rsid w:val="00431108"/>
    <w:rsid w:val="004353DA"/>
    <w:rsid w:val="00444A96"/>
    <w:rsid w:val="00444CA6"/>
    <w:rsid w:val="004669D2"/>
    <w:rsid w:val="00472FE3"/>
    <w:rsid w:val="004B11B9"/>
    <w:rsid w:val="004B659A"/>
    <w:rsid w:val="004E261E"/>
    <w:rsid w:val="004E659A"/>
    <w:rsid w:val="004E6B68"/>
    <w:rsid w:val="004F34B2"/>
    <w:rsid w:val="005213AF"/>
    <w:rsid w:val="00545152"/>
    <w:rsid w:val="00586194"/>
    <w:rsid w:val="0059580A"/>
    <w:rsid w:val="005A09F4"/>
    <w:rsid w:val="005C12B5"/>
    <w:rsid w:val="005D1389"/>
    <w:rsid w:val="005E52CD"/>
    <w:rsid w:val="006000F8"/>
    <w:rsid w:val="00614BB3"/>
    <w:rsid w:val="00641DC7"/>
    <w:rsid w:val="0066341E"/>
    <w:rsid w:val="00667EB1"/>
    <w:rsid w:val="006703E5"/>
    <w:rsid w:val="00674A31"/>
    <w:rsid w:val="00677787"/>
    <w:rsid w:val="00691B52"/>
    <w:rsid w:val="006A1298"/>
    <w:rsid w:val="006A48AE"/>
    <w:rsid w:val="006B192D"/>
    <w:rsid w:val="006B2B4A"/>
    <w:rsid w:val="006C5831"/>
    <w:rsid w:val="006D7621"/>
    <w:rsid w:val="007103AD"/>
    <w:rsid w:val="00733C3B"/>
    <w:rsid w:val="00753ED4"/>
    <w:rsid w:val="00771FDD"/>
    <w:rsid w:val="007B7EA5"/>
    <w:rsid w:val="007F24A1"/>
    <w:rsid w:val="0082638F"/>
    <w:rsid w:val="00835C97"/>
    <w:rsid w:val="008843E7"/>
    <w:rsid w:val="00885CDD"/>
    <w:rsid w:val="008B43A1"/>
    <w:rsid w:val="008B6653"/>
    <w:rsid w:val="008C626C"/>
    <w:rsid w:val="008C7954"/>
    <w:rsid w:val="008E01DC"/>
    <w:rsid w:val="008E1B0A"/>
    <w:rsid w:val="008F40E7"/>
    <w:rsid w:val="009577B1"/>
    <w:rsid w:val="0096055E"/>
    <w:rsid w:val="00966770"/>
    <w:rsid w:val="00973822"/>
    <w:rsid w:val="0098338C"/>
    <w:rsid w:val="00993A77"/>
    <w:rsid w:val="009B2E05"/>
    <w:rsid w:val="009C3E87"/>
    <w:rsid w:val="009C4D97"/>
    <w:rsid w:val="00A23A8B"/>
    <w:rsid w:val="00A32B34"/>
    <w:rsid w:val="00A410E7"/>
    <w:rsid w:val="00A4243C"/>
    <w:rsid w:val="00A614EA"/>
    <w:rsid w:val="00A62EC2"/>
    <w:rsid w:val="00A63143"/>
    <w:rsid w:val="00A71635"/>
    <w:rsid w:val="00A73E0A"/>
    <w:rsid w:val="00A84FD9"/>
    <w:rsid w:val="00A95F7B"/>
    <w:rsid w:val="00AA2A86"/>
    <w:rsid w:val="00AA65F8"/>
    <w:rsid w:val="00AA68DC"/>
    <w:rsid w:val="00AE5098"/>
    <w:rsid w:val="00AF56B0"/>
    <w:rsid w:val="00B308E6"/>
    <w:rsid w:val="00B37C83"/>
    <w:rsid w:val="00B54470"/>
    <w:rsid w:val="00B55EB8"/>
    <w:rsid w:val="00BB02EA"/>
    <w:rsid w:val="00BB0A1E"/>
    <w:rsid w:val="00BB2534"/>
    <w:rsid w:val="00BC1104"/>
    <w:rsid w:val="00BD4269"/>
    <w:rsid w:val="00BE2990"/>
    <w:rsid w:val="00BE7471"/>
    <w:rsid w:val="00BF2441"/>
    <w:rsid w:val="00C11420"/>
    <w:rsid w:val="00C119D7"/>
    <w:rsid w:val="00C1391E"/>
    <w:rsid w:val="00C64B4C"/>
    <w:rsid w:val="00CA05F0"/>
    <w:rsid w:val="00CA07F1"/>
    <w:rsid w:val="00CD58D0"/>
    <w:rsid w:val="00CE425F"/>
    <w:rsid w:val="00D00AE3"/>
    <w:rsid w:val="00D01856"/>
    <w:rsid w:val="00D224A4"/>
    <w:rsid w:val="00D34291"/>
    <w:rsid w:val="00D57EF2"/>
    <w:rsid w:val="00D651B3"/>
    <w:rsid w:val="00D77873"/>
    <w:rsid w:val="00D8202B"/>
    <w:rsid w:val="00D872DA"/>
    <w:rsid w:val="00D907F0"/>
    <w:rsid w:val="00D91826"/>
    <w:rsid w:val="00D9237A"/>
    <w:rsid w:val="00D94E51"/>
    <w:rsid w:val="00DB61E2"/>
    <w:rsid w:val="00DF49F0"/>
    <w:rsid w:val="00E147B6"/>
    <w:rsid w:val="00E1648E"/>
    <w:rsid w:val="00E237FE"/>
    <w:rsid w:val="00E249D1"/>
    <w:rsid w:val="00E35598"/>
    <w:rsid w:val="00E56AAF"/>
    <w:rsid w:val="00E71908"/>
    <w:rsid w:val="00EA7B51"/>
    <w:rsid w:val="00EB7737"/>
    <w:rsid w:val="00ED4776"/>
    <w:rsid w:val="00EE0495"/>
    <w:rsid w:val="00EE692F"/>
    <w:rsid w:val="00EF6342"/>
    <w:rsid w:val="00F07BF3"/>
    <w:rsid w:val="00F27ACE"/>
    <w:rsid w:val="00F45662"/>
    <w:rsid w:val="00F5420C"/>
    <w:rsid w:val="00F864B6"/>
    <w:rsid w:val="00F9141B"/>
    <w:rsid w:val="00F926CC"/>
    <w:rsid w:val="00F94AA3"/>
    <w:rsid w:val="00FC7720"/>
    <w:rsid w:val="00FD2516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3328"/>
  <w15:docId w15:val="{C7334D1D-F979-4DCA-91EA-FEC3AD2D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A3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0828-0870-4C1C-BD44-D5F1E856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Curtis</dc:creator>
  <cp:lastModifiedBy>PTFA 2</cp:lastModifiedBy>
  <cp:revision>8</cp:revision>
  <cp:lastPrinted>2025-02-23T20:57:00Z</cp:lastPrinted>
  <dcterms:created xsi:type="dcterms:W3CDTF">2025-10-27T08:02:00Z</dcterms:created>
  <dcterms:modified xsi:type="dcterms:W3CDTF">2025-10-27T08:49:00Z</dcterms:modified>
</cp:coreProperties>
</file>